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55DBA203" w:rsidR="002C1F81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Gołąb, dnia </w:t>
      </w:r>
      <w:r w:rsidR="00986730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9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F17C7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lipca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37C5A1E7" w:rsidR="002C1F81" w:rsidRDefault="00986730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ZAPIS WINDYKACYJNY W </w:t>
      </w:r>
      <w:r w:rsidR="00D34A31">
        <w:rPr>
          <w:rFonts w:ascii="Arial" w:hAnsi="Arial"/>
          <w:b/>
          <w:bCs/>
          <w:color w:val="000000"/>
          <w:sz w:val="24"/>
          <w:szCs w:val="24"/>
        </w:rPr>
        <w:t>TESTAMEN</w:t>
      </w:r>
      <w:r>
        <w:rPr>
          <w:rFonts w:ascii="Arial" w:hAnsi="Arial"/>
          <w:b/>
          <w:bCs/>
          <w:color w:val="000000"/>
          <w:sz w:val="24"/>
          <w:szCs w:val="24"/>
        </w:rPr>
        <w:t>CIE</w:t>
      </w:r>
      <w:r w:rsidR="00D34A31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="008F17C7">
        <w:rPr>
          <w:rFonts w:ascii="Arial" w:hAnsi="Arial"/>
          <w:b/>
          <w:bCs/>
          <w:color w:val="000000"/>
          <w:sz w:val="24"/>
          <w:szCs w:val="24"/>
        </w:rPr>
        <w:t>NOTARIALNY</w:t>
      </w:r>
      <w:r>
        <w:rPr>
          <w:rFonts w:ascii="Arial" w:hAnsi="Arial"/>
          <w:b/>
          <w:bCs/>
          <w:color w:val="000000"/>
          <w:sz w:val="24"/>
          <w:szCs w:val="24"/>
        </w:rPr>
        <w:t>M</w:t>
      </w:r>
    </w:p>
    <w:p w14:paraId="6F3BA00C" w14:textId="05C9D367" w:rsidR="000224AC" w:rsidRPr="000224AC" w:rsidRDefault="000224AC" w:rsidP="000224A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0224AC">
        <w:rPr>
          <w:rFonts w:ascii="Arial" w:hAnsi="Arial"/>
          <w:color w:val="000000"/>
          <w:sz w:val="24"/>
          <w:szCs w:val="24"/>
        </w:rPr>
        <w:t xml:space="preserve">Zapis windykacyjny to szczególny sposób przekazania określonych składników majątku konkretnym osobom w testamencie. Jest możliwy tylko w testamencie notarialnym i pozwala na bardziej precyzyjne rozporządzenie wybranymi przedmiotami, nieruchomościami lub prawami. </w:t>
      </w:r>
    </w:p>
    <w:p w14:paraId="482C17D5" w14:textId="77777777" w:rsidR="00132CA1" w:rsidRDefault="000224AC" w:rsidP="000224A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0224AC">
        <w:rPr>
          <w:rFonts w:ascii="Arial" w:hAnsi="Arial"/>
          <w:color w:val="000000"/>
          <w:sz w:val="24"/>
          <w:szCs w:val="24"/>
        </w:rPr>
        <w:t>Zapis windykacyjny to instytucja prawa spadkowego, która umożliwia spadkodawcy postanowienie w testamencie notarialnym, że określona rzecz, prawo lub przedsiębiorstwo przechodzi bezpośrednio na własność oznaczonej osoby (zapisobiercy windykacyjnego) z chwilą śmierci spadkodawcy.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235ECB18" w14:textId="77777777" w:rsidR="00132CA1" w:rsidRDefault="000224AC" w:rsidP="000224A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Został on uregulowany w art. 981</w:t>
      </w:r>
      <w:r>
        <w:rPr>
          <w:rFonts w:ascii="Arial" w:hAnsi="Arial"/>
          <w:color w:val="000000"/>
          <w:sz w:val="24"/>
          <w:szCs w:val="24"/>
          <w:vertAlign w:val="superscript"/>
        </w:rPr>
        <w:t xml:space="preserve">1 </w:t>
      </w:r>
      <w:r>
        <w:rPr>
          <w:rFonts w:ascii="Arial" w:hAnsi="Arial"/>
          <w:color w:val="000000"/>
          <w:sz w:val="24"/>
          <w:szCs w:val="24"/>
        </w:rPr>
        <w:t>ustawy z dnia 23 kwietnia 1964 r. kodeks cywilny (</w:t>
      </w:r>
      <w:r w:rsidRPr="000224AC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0224AC">
        <w:rPr>
          <w:rFonts w:ascii="Arial" w:hAnsi="Arial"/>
          <w:color w:val="000000"/>
          <w:sz w:val="24"/>
          <w:szCs w:val="24"/>
        </w:rPr>
        <w:t>2024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0224AC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 </w:t>
      </w:r>
      <w:r w:rsidRPr="000224AC">
        <w:rPr>
          <w:rFonts w:ascii="Arial" w:hAnsi="Arial"/>
          <w:color w:val="000000"/>
          <w:sz w:val="24"/>
          <w:szCs w:val="24"/>
        </w:rPr>
        <w:t>1061</w:t>
      </w:r>
      <w:r>
        <w:rPr>
          <w:rFonts w:ascii="Arial" w:hAnsi="Arial"/>
          <w:color w:val="000000"/>
          <w:sz w:val="24"/>
          <w:szCs w:val="24"/>
        </w:rPr>
        <w:t>)</w:t>
      </w:r>
      <w:r w:rsidR="00132CA1"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zgodnie z którym „w</w:t>
      </w:r>
      <w:r w:rsidRPr="000224AC">
        <w:rPr>
          <w:rFonts w:ascii="Arial" w:hAnsi="Arial"/>
          <w:color w:val="000000"/>
          <w:sz w:val="24"/>
          <w:szCs w:val="24"/>
        </w:rPr>
        <w:t xml:space="preserve"> testamencie sporządzonym w formie aktu notarialnego spadkodawca może postanowić, że oznaczona osoba nabywa przedmiot zapisu z chwilą otwarcia spadku</w:t>
      </w:r>
      <w:r>
        <w:rPr>
          <w:rFonts w:ascii="Arial" w:hAnsi="Arial"/>
          <w:color w:val="000000"/>
          <w:sz w:val="24"/>
          <w:szCs w:val="24"/>
        </w:rPr>
        <w:t xml:space="preserve"> (zapis windykacyjny)”. </w:t>
      </w:r>
    </w:p>
    <w:p w14:paraId="25B28ED0" w14:textId="459C9722" w:rsidR="000224AC" w:rsidRPr="000224AC" w:rsidRDefault="000224AC" w:rsidP="000224A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 </w:t>
      </w:r>
      <w:r w:rsidRPr="000224AC">
        <w:rPr>
          <w:rFonts w:ascii="Arial" w:hAnsi="Arial"/>
          <w:color w:val="000000"/>
          <w:sz w:val="24"/>
          <w:szCs w:val="24"/>
        </w:rPr>
        <w:t>§</w:t>
      </w:r>
      <w:r>
        <w:rPr>
          <w:rFonts w:ascii="Arial" w:hAnsi="Arial"/>
          <w:color w:val="000000"/>
          <w:sz w:val="24"/>
          <w:szCs w:val="24"/>
        </w:rPr>
        <w:t xml:space="preserve"> 2 wyżej wskazanego przepisu wynika, że przedmiotem zapisu windykacyjnego może być </w:t>
      </w:r>
      <w:r w:rsidRPr="000224AC">
        <w:rPr>
          <w:rFonts w:ascii="Arial" w:hAnsi="Arial"/>
          <w:color w:val="000000"/>
          <w:sz w:val="24"/>
          <w:szCs w:val="24"/>
        </w:rPr>
        <w:t>rzecz oznaczona co do tożsamości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0224AC">
        <w:rPr>
          <w:rFonts w:ascii="Arial" w:hAnsi="Arial"/>
          <w:color w:val="000000"/>
          <w:sz w:val="24"/>
          <w:szCs w:val="24"/>
        </w:rPr>
        <w:t>zbywalne prawo majątkowe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0224AC">
        <w:rPr>
          <w:rFonts w:ascii="Arial" w:hAnsi="Arial"/>
          <w:color w:val="000000"/>
          <w:sz w:val="24"/>
          <w:szCs w:val="24"/>
        </w:rPr>
        <w:t>przedsiębiorstwo lub gospodarstwo rolne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 w:rsidRPr="000224AC">
        <w:rPr>
          <w:rFonts w:ascii="Arial" w:hAnsi="Arial"/>
          <w:color w:val="000000"/>
          <w:sz w:val="24"/>
          <w:szCs w:val="24"/>
        </w:rPr>
        <w:t>ustanowienie na rzecz zapisobiercy użytkowania lub służebności</w:t>
      </w:r>
      <w:r>
        <w:rPr>
          <w:rFonts w:ascii="Arial" w:hAnsi="Arial"/>
          <w:color w:val="000000"/>
          <w:sz w:val="24"/>
          <w:szCs w:val="24"/>
        </w:rPr>
        <w:t>,</w:t>
      </w:r>
      <w:r w:rsidRPr="000224AC">
        <w:rPr>
          <w:rFonts w:ascii="Arial" w:hAnsi="Arial"/>
          <w:color w:val="000000"/>
          <w:sz w:val="24"/>
          <w:szCs w:val="24"/>
        </w:rPr>
        <w:t xml:space="preserve"> ogół praw i obowiązków wspólnika spółki osobowej.</w:t>
      </w:r>
      <w:r>
        <w:rPr>
          <w:rFonts w:ascii="Arial" w:hAnsi="Arial"/>
          <w:color w:val="000000"/>
          <w:sz w:val="24"/>
          <w:szCs w:val="24"/>
        </w:rPr>
        <w:t xml:space="preserve"> Jest to katalog zamknięty, co oznacza, że inne przedmioty niewskazane wyżej nie mogą stanowić przedmiotu zapisu windykacyjnego. </w:t>
      </w:r>
      <w:r w:rsidRPr="000224AC">
        <w:rPr>
          <w:rFonts w:ascii="Arial" w:hAnsi="Arial"/>
          <w:color w:val="000000"/>
          <w:sz w:val="24"/>
          <w:szCs w:val="24"/>
        </w:rPr>
        <w:t>Nie może zatem stać się przedmiotem zapisu windykacyjnego np. świadczenie usługi czy dokonanie czynności prawnej.</w:t>
      </w:r>
    </w:p>
    <w:p w14:paraId="4E1D8359" w14:textId="7F003274" w:rsidR="000224AC" w:rsidRPr="000224AC" w:rsidRDefault="000224AC" w:rsidP="000224A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0224AC">
        <w:rPr>
          <w:rFonts w:ascii="Arial" w:hAnsi="Arial"/>
          <w:color w:val="000000"/>
          <w:sz w:val="24"/>
          <w:szCs w:val="24"/>
        </w:rPr>
        <w:t>W przeciwieństwie do zwykłego zapisu, który nakłada obowiązek wydania rzeczy na spadkobierców, zapis windykacyjny przenosi własność automatycznie, bez konieczności dodatkowych działań czy umów.</w:t>
      </w:r>
      <w:r w:rsidR="00132CA1" w:rsidRPr="00132CA1">
        <w:t xml:space="preserve"> </w:t>
      </w:r>
      <w:r w:rsidR="00132CA1" w:rsidRPr="00132CA1">
        <w:rPr>
          <w:rFonts w:ascii="Arial" w:hAnsi="Arial"/>
          <w:color w:val="000000"/>
          <w:sz w:val="24"/>
          <w:szCs w:val="24"/>
        </w:rPr>
        <w:t xml:space="preserve">Zapis windykacyjny, w odróżnieniu od zapisu zwykłego (wywołującego tylko skutki obligacyjne), wywołuje w chwili otwarcia spadku skutek rzeczowy polegający na tym, że zapisobierca windykacyjny od razu staje się właścicielem rzeczy lub uprawnionym z tytułu zapisanych praw i ta cecha zbliża go do statusu spadkobiercy. </w:t>
      </w:r>
      <w:r w:rsidR="00132CA1">
        <w:rPr>
          <w:rFonts w:ascii="Arial" w:hAnsi="Arial"/>
          <w:color w:val="000000"/>
          <w:sz w:val="24"/>
          <w:szCs w:val="24"/>
        </w:rPr>
        <w:t xml:space="preserve">Zapisobierca windykacyjny </w:t>
      </w:r>
      <w:r w:rsidR="00132CA1" w:rsidRPr="00132CA1">
        <w:rPr>
          <w:rFonts w:ascii="Arial" w:hAnsi="Arial"/>
          <w:color w:val="000000"/>
          <w:sz w:val="24"/>
          <w:szCs w:val="24"/>
        </w:rPr>
        <w:t>jako właściciel może od razu wystąpić z roszczeniem windykacyjnym w celu wejścia w posiadanie zapisanych mu rzeczy, niezależnie od tego, kto aktualnie nimi włada, wobec czego nie jest narażony na oczekiwanie, aż dojdzie do ustalenia kręgu spadkobierców</w:t>
      </w:r>
    </w:p>
    <w:p w14:paraId="6B29973F" w14:textId="701D3044" w:rsidR="000224AC" w:rsidRPr="000224AC" w:rsidRDefault="000224AC" w:rsidP="000224A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Wskazać należy, że a</w:t>
      </w:r>
      <w:r w:rsidRPr="000224AC">
        <w:rPr>
          <w:rFonts w:ascii="Arial" w:hAnsi="Arial"/>
          <w:color w:val="000000"/>
          <w:sz w:val="24"/>
          <w:szCs w:val="24"/>
        </w:rPr>
        <w:t>by zapis windykacyjny był ważny i skuteczny</w:t>
      </w:r>
      <w:r>
        <w:rPr>
          <w:rFonts w:ascii="Arial" w:hAnsi="Arial"/>
          <w:color w:val="000000"/>
          <w:sz w:val="24"/>
          <w:szCs w:val="24"/>
        </w:rPr>
        <w:t xml:space="preserve"> m</w:t>
      </w:r>
      <w:r w:rsidRPr="000224AC">
        <w:rPr>
          <w:rFonts w:ascii="Arial" w:hAnsi="Arial"/>
          <w:color w:val="000000"/>
          <w:sz w:val="24"/>
          <w:szCs w:val="24"/>
        </w:rPr>
        <w:t>usi być zawarty w testamencie notarialnym – inne formy testamentu nie pozwalają na zapis windykacyjny</w:t>
      </w:r>
      <w:r>
        <w:rPr>
          <w:rFonts w:ascii="Arial" w:hAnsi="Arial"/>
          <w:color w:val="000000"/>
          <w:sz w:val="24"/>
          <w:szCs w:val="24"/>
        </w:rPr>
        <w:t>, m</w:t>
      </w:r>
      <w:r w:rsidRPr="000224AC">
        <w:rPr>
          <w:rFonts w:ascii="Arial" w:hAnsi="Arial"/>
          <w:color w:val="000000"/>
          <w:sz w:val="24"/>
          <w:szCs w:val="24"/>
        </w:rPr>
        <w:t>usi dotyczyć rzeczy lub prawa oznaczonego indywidualnie</w:t>
      </w:r>
      <w:r>
        <w:rPr>
          <w:rFonts w:ascii="Arial" w:hAnsi="Arial"/>
          <w:color w:val="000000"/>
          <w:sz w:val="24"/>
          <w:szCs w:val="24"/>
        </w:rPr>
        <w:t>, s</w:t>
      </w:r>
      <w:r w:rsidRPr="000224AC">
        <w:rPr>
          <w:rFonts w:ascii="Arial" w:hAnsi="Arial"/>
          <w:color w:val="000000"/>
          <w:sz w:val="24"/>
          <w:szCs w:val="24"/>
        </w:rPr>
        <w:t>padkodawca musi być właścicielem danej rzeczy lub prawa w chwili śmierci.</w:t>
      </w:r>
    </w:p>
    <w:p w14:paraId="1B320DAD" w14:textId="044D16E5" w:rsidR="000224AC" w:rsidRPr="00E57D20" w:rsidRDefault="000224AC" w:rsidP="00132CA1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0224AC">
        <w:rPr>
          <w:rFonts w:ascii="Arial" w:hAnsi="Arial"/>
          <w:color w:val="000000"/>
          <w:sz w:val="24"/>
          <w:szCs w:val="24"/>
        </w:rPr>
        <w:lastRenderedPageBreak/>
        <w:t xml:space="preserve">Zapis może </w:t>
      </w:r>
      <w:r w:rsidR="00132CA1">
        <w:rPr>
          <w:rFonts w:ascii="Arial" w:hAnsi="Arial"/>
          <w:color w:val="000000"/>
          <w:sz w:val="24"/>
          <w:szCs w:val="24"/>
        </w:rPr>
        <w:t>okazać się</w:t>
      </w:r>
      <w:r w:rsidRPr="000224AC">
        <w:rPr>
          <w:rFonts w:ascii="Arial" w:hAnsi="Arial"/>
          <w:color w:val="000000"/>
          <w:sz w:val="24"/>
          <w:szCs w:val="24"/>
        </w:rPr>
        <w:t xml:space="preserve"> bezskuteczny, jeśli przedmiot zapisu nie należy do spadkodawcy w chwili śmierci </w:t>
      </w:r>
      <w:r w:rsidR="00E749F0">
        <w:rPr>
          <w:rFonts w:ascii="Arial" w:hAnsi="Arial"/>
          <w:color w:val="000000"/>
          <w:sz w:val="24"/>
          <w:szCs w:val="24"/>
        </w:rPr>
        <w:t xml:space="preserve">- </w:t>
      </w:r>
      <w:r w:rsidRPr="000224AC">
        <w:rPr>
          <w:rFonts w:ascii="Arial" w:hAnsi="Arial"/>
          <w:color w:val="000000"/>
          <w:sz w:val="24"/>
          <w:szCs w:val="24"/>
        </w:rPr>
        <w:t xml:space="preserve">np. </w:t>
      </w:r>
      <w:r w:rsidR="00E749F0">
        <w:rPr>
          <w:rFonts w:ascii="Arial" w:hAnsi="Arial"/>
          <w:color w:val="000000"/>
          <w:sz w:val="24"/>
          <w:szCs w:val="24"/>
        </w:rPr>
        <w:t xml:space="preserve">w sytuacji gdy </w:t>
      </w:r>
      <w:r w:rsidRPr="000224AC">
        <w:rPr>
          <w:rFonts w:ascii="Arial" w:hAnsi="Arial"/>
          <w:color w:val="000000"/>
          <w:sz w:val="24"/>
          <w:szCs w:val="24"/>
        </w:rPr>
        <w:t>został sprzedany wcześniej.</w:t>
      </w:r>
    </w:p>
    <w:p w14:paraId="4C57A7CC" w14:textId="169A53FC" w:rsidR="00242FC9" w:rsidRPr="00303D7C" w:rsidRDefault="004B0186" w:rsidP="00303D7C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</w:t>
      </w:r>
    </w:p>
    <w:p w14:paraId="06C88A3F" w14:textId="366E9BB1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Opracowała: Prawnik</w:t>
      </w:r>
    </w:p>
    <w:p w14:paraId="566C5127" w14:textId="0436ABB7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Małgorzata Wdowiak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D875" w14:textId="77777777" w:rsidR="00987109" w:rsidRDefault="00987109">
      <w:pPr>
        <w:spacing w:after="0" w:line="240" w:lineRule="auto"/>
      </w:pPr>
      <w:r>
        <w:separator/>
      </w:r>
    </w:p>
  </w:endnote>
  <w:endnote w:type="continuationSeparator" w:id="0">
    <w:p w14:paraId="66459D65" w14:textId="77777777" w:rsidR="00987109" w:rsidRDefault="009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903F" w14:textId="77777777" w:rsidR="00987109" w:rsidRDefault="00987109">
      <w:pPr>
        <w:spacing w:after="0" w:line="240" w:lineRule="auto"/>
      </w:pPr>
      <w:r>
        <w:separator/>
      </w:r>
    </w:p>
  </w:footnote>
  <w:footnote w:type="continuationSeparator" w:id="0">
    <w:p w14:paraId="4F8EC774" w14:textId="77777777" w:rsidR="00987109" w:rsidRDefault="0098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224AC"/>
    <w:rsid w:val="00041497"/>
    <w:rsid w:val="00043CF4"/>
    <w:rsid w:val="000A048D"/>
    <w:rsid w:val="000A2F57"/>
    <w:rsid w:val="000A48C9"/>
    <w:rsid w:val="00110560"/>
    <w:rsid w:val="001129EF"/>
    <w:rsid w:val="00132CA1"/>
    <w:rsid w:val="001E6A3A"/>
    <w:rsid w:val="00242FC9"/>
    <w:rsid w:val="002C1F81"/>
    <w:rsid w:val="002E71DD"/>
    <w:rsid w:val="00302DA5"/>
    <w:rsid w:val="00303D7C"/>
    <w:rsid w:val="003F7E0A"/>
    <w:rsid w:val="00436D59"/>
    <w:rsid w:val="00497893"/>
    <w:rsid w:val="004B0186"/>
    <w:rsid w:val="005D2E28"/>
    <w:rsid w:val="00772CC5"/>
    <w:rsid w:val="0079545E"/>
    <w:rsid w:val="00796E71"/>
    <w:rsid w:val="00806F8A"/>
    <w:rsid w:val="00831131"/>
    <w:rsid w:val="00852062"/>
    <w:rsid w:val="008F17C7"/>
    <w:rsid w:val="0098422B"/>
    <w:rsid w:val="00986730"/>
    <w:rsid w:val="00987109"/>
    <w:rsid w:val="009E045E"/>
    <w:rsid w:val="00A123F7"/>
    <w:rsid w:val="00C532D7"/>
    <w:rsid w:val="00D34A31"/>
    <w:rsid w:val="00D719B3"/>
    <w:rsid w:val="00DF3581"/>
    <w:rsid w:val="00E57D20"/>
    <w:rsid w:val="00E749F0"/>
    <w:rsid w:val="00E83A29"/>
    <w:rsid w:val="00F64FEB"/>
    <w:rsid w:val="00F966EF"/>
    <w:rsid w:val="00F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3</cp:revision>
  <cp:lastPrinted>2024-10-25T15:29:00Z</cp:lastPrinted>
  <dcterms:created xsi:type="dcterms:W3CDTF">2025-08-05T08:52:00Z</dcterms:created>
  <dcterms:modified xsi:type="dcterms:W3CDTF">2025-08-05T09:17:00Z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