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83F1A" w14:textId="77777777" w:rsidR="0051780F" w:rsidRDefault="0051780F">
      <w:pPr>
        <w:spacing w:line="360" w:lineRule="auto"/>
        <w:jc w:val="center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05998E6F" w14:textId="0953C35A" w:rsidR="0051780F" w:rsidRDefault="00393036">
      <w:pPr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Gołąb</w:t>
      </w:r>
      <w:r w:rsidR="0085337D">
        <w:rPr>
          <w:rFonts w:ascii="Arial" w:hAnsi="Arial"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7</w:t>
      </w:r>
      <w:r w:rsidR="0085337D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lutego</w:t>
      </w:r>
      <w:r w:rsidR="0085337D">
        <w:rPr>
          <w:rFonts w:ascii="Arial" w:hAnsi="Arial"/>
          <w:color w:val="000000"/>
          <w:sz w:val="24"/>
          <w:szCs w:val="24"/>
        </w:rPr>
        <w:t xml:space="preserve"> 202</w:t>
      </w:r>
      <w:r w:rsidR="007D3D1F">
        <w:rPr>
          <w:rFonts w:ascii="Arial" w:hAnsi="Arial"/>
          <w:color w:val="000000"/>
          <w:sz w:val="24"/>
          <w:szCs w:val="24"/>
        </w:rPr>
        <w:t>5</w:t>
      </w:r>
      <w:r w:rsidR="0085337D">
        <w:rPr>
          <w:rFonts w:ascii="Arial" w:hAnsi="Arial"/>
          <w:color w:val="000000"/>
          <w:sz w:val="24"/>
          <w:szCs w:val="24"/>
        </w:rPr>
        <w:t xml:space="preserve"> r.</w:t>
      </w:r>
    </w:p>
    <w:p w14:paraId="6EE15766" w14:textId="6EF6D6EE" w:rsidR="007D3D1F" w:rsidRDefault="00393036" w:rsidP="007D3D1F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ULGA REHABILITACYJNA – PODSTAWOWE INFORMACJE</w:t>
      </w:r>
    </w:p>
    <w:p w14:paraId="6FC1DD86" w14:textId="3DD46219" w:rsidR="00C5525A" w:rsidRDefault="00BB404C" w:rsidP="00BB404C">
      <w:pPr>
        <w:spacing w:line="276" w:lineRule="auto"/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Zgodnie z ustawą z dnia 26 lipca 1991 r. o podatku dochodowym od osób fizycznych (</w:t>
      </w:r>
      <w:r w:rsidRPr="00BB404C">
        <w:rPr>
          <w:rFonts w:ascii="Arial" w:hAnsi="Arial"/>
          <w:color w:val="000000"/>
          <w:sz w:val="24"/>
          <w:szCs w:val="24"/>
        </w:rPr>
        <w:t>Dz.U.</w:t>
      </w:r>
      <w:r>
        <w:rPr>
          <w:rFonts w:ascii="Arial" w:hAnsi="Arial"/>
          <w:color w:val="000000"/>
          <w:sz w:val="24"/>
          <w:szCs w:val="24"/>
        </w:rPr>
        <w:t xml:space="preserve"> z </w:t>
      </w:r>
      <w:r w:rsidRPr="00BB404C">
        <w:rPr>
          <w:rFonts w:ascii="Arial" w:hAnsi="Arial"/>
          <w:color w:val="000000"/>
          <w:sz w:val="24"/>
          <w:szCs w:val="24"/>
        </w:rPr>
        <w:t>2025</w:t>
      </w:r>
      <w:r>
        <w:rPr>
          <w:rFonts w:ascii="Arial" w:hAnsi="Arial"/>
          <w:color w:val="000000"/>
          <w:sz w:val="24"/>
          <w:szCs w:val="24"/>
        </w:rPr>
        <w:t xml:space="preserve"> r</w:t>
      </w:r>
      <w:r w:rsidRPr="00BB404C">
        <w:rPr>
          <w:rFonts w:ascii="Arial" w:hAnsi="Arial"/>
          <w:color w:val="00000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poz.</w:t>
      </w:r>
      <w:r w:rsidRPr="00BB404C">
        <w:rPr>
          <w:rFonts w:ascii="Arial" w:hAnsi="Arial"/>
          <w:color w:val="000000"/>
          <w:sz w:val="24"/>
          <w:szCs w:val="24"/>
        </w:rPr>
        <w:t>163</w:t>
      </w:r>
      <w:r>
        <w:rPr>
          <w:rFonts w:ascii="Arial" w:hAnsi="Arial"/>
          <w:color w:val="000000"/>
          <w:sz w:val="24"/>
          <w:szCs w:val="24"/>
        </w:rPr>
        <w:t xml:space="preserve">) przy obliczaniu podatku dochodowego od osób fizycznych istnieje możliwość odliczenia różnego rodzaju kwot, w tym między innymi </w:t>
      </w:r>
      <w:r w:rsidRPr="00BB404C">
        <w:rPr>
          <w:rFonts w:ascii="Arial" w:hAnsi="Arial"/>
          <w:color w:val="000000"/>
          <w:sz w:val="24"/>
          <w:szCs w:val="24"/>
        </w:rPr>
        <w:t>wydatków na cele rehabilitacyjne oraz wydatków związanych z ułatwieniem wykonywania czynności życiowych, poniesionych w roku podatkowym przez podatnika będącego osobą niepełnosprawną lub podatnika, na którego utrzymaniu są osoby niepełnosprawne</w:t>
      </w:r>
      <w:r>
        <w:rPr>
          <w:rFonts w:ascii="Arial" w:hAnsi="Arial"/>
          <w:color w:val="000000"/>
          <w:sz w:val="24"/>
          <w:szCs w:val="24"/>
        </w:rPr>
        <w:t xml:space="preserve"> (art. 26 ust. 1 pkt 6 ustawy o podatku dochodowym od osób fizycznych)</w:t>
      </w:r>
      <w:r w:rsidR="009C7467">
        <w:rPr>
          <w:rFonts w:ascii="Arial" w:hAnsi="Arial"/>
          <w:color w:val="000000"/>
          <w:sz w:val="24"/>
          <w:szCs w:val="24"/>
        </w:rPr>
        <w:t>, tzw. ulga rehabilitacyjna</w:t>
      </w:r>
      <w:r>
        <w:rPr>
          <w:rFonts w:ascii="Arial" w:hAnsi="Arial"/>
          <w:color w:val="000000"/>
          <w:sz w:val="24"/>
          <w:szCs w:val="24"/>
        </w:rPr>
        <w:t xml:space="preserve">. </w:t>
      </w:r>
    </w:p>
    <w:p w14:paraId="5CD76241" w14:textId="2D069EDB" w:rsidR="009C7467" w:rsidRPr="009C7467" w:rsidRDefault="009C7467" w:rsidP="009C7467">
      <w:pPr>
        <w:spacing w:line="276" w:lineRule="auto"/>
        <w:ind w:firstLine="70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4"/>
          <w:szCs w:val="24"/>
        </w:rPr>
        <w:t xml:space="preserve">Z ulgi może skorzystać osoba niepełnosprawna lub posiadająca na utrzymaniu osobę niepełnosprawną oraz która poniosła wydatki na rehabilitację lub wydatki związane z ułatwieniem wykonywania czynności życiowych. </w:t>
      </w:r>
      <w:r>
        <w:rPr>
          <w:rFonts w:ascii="Arial" w:hAnsi="Arial"/>
          <w:color w:val="000000"/>
          <w:sz w:val="24"/>
          <w:szCs w:val="24"/>
        </w:rPr>
        <w:t xml:space="preserve">W tym celu będąc osobą niepełnosprawną, należy posiadać orzeczenie </w:t>
      </w:r>
      <w:r w:rsidRPr="009C7467">
        <w:rPr>
          <w:rFonts w:ascii="Arial" w:hAnsi="Arial"/>
          <w:color w:val="000000"/>
          <w:sz w:val="24"/>
          <w:szCs w:val="24"/>
        </w:rPr>
        <w:t>o zakwalifikowaniu przez organy orzekające do jednego z trzech stopni niepełnosprawności, określonych w odrębnych przepisach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9C7467">
        <w:rPr>
          <w:rFonts w:ascii="Arial" w:hAnsi="Arial"/>
          <w:color w:val="000000"/>
          <w:sz w:val="24"/>
          <w:szCs w:val="24"/>
        </w:rPr>
        <w:t>lub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9C7467">
        <w:rPr>
          <w:rFonts w:ascii="Arial" w:hAnsi="Arial"/>
          <w:color w:val="000000"/>
          <w:sz w:val="24"/>
          <w:szCs w:val="24"/>
        </w:rPr>
        <w:t>decyzję, która przyznaje rentę z tytułu całkowitej lub częściowej niezdolności do pracy, rentę szkoleniową albo rentę socjalną albo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9C7467">
        <w:rPr>
          <w:rFonts w:ascii="Arial" w:hAnsi="Arial"/>
          <w:color w:val="000000"/>
          <w:sz w:val="24"/>
          <w:szCs w:val="24"/>
        </w:rPr>
        <w:t>orzeczenie o niepełnosprawności osoby, która nie ukończyła 16 roku życia, wydanego na podstawie odrębnych przepisów</w:t>
      </w:r>
      <w:r>
        <w:rPr>
          <w:rFonts w:ascii="Arial" w:hAnsi="Arial"/>
          <w:color w:val="000000"/>
          <w:sz w:val="24"/>
          <w:szCs w:val="24"/>
        </w:rPr>
        <w:t xml:space="preserve">. Jak wcześniej wskazano, z ulgi można skorzystać </w:t>
      </w:r>
      <w:proofErr w:type="gramStart"/>
      <w:r>
        <w:rPr>
          <w:rFonts w:ascii="Arial" w:hAnsi="Arial"/>
          <w:color w:val="000000"/>
          <w:sz w:val="24"/>
          <w:szCs w:val="24"/>
        </w:rPr>
        <w:t>też</w:t>
      </w:r>
      <w:proofErr w:type="gramEnd"/>
      <w:r>
        <w:rPr>
          <w:rFonts w:ascii="Arial" w:hAnsi="Arial"/>
          <w:color w:val="000000"/>
          <w:sz w:val="24"/>
          <w:szCs w:val="24"/>
        </w:rPr>
        <w:t xml:space="preserve"> jeśli ma się na utrzymaniu osobę niepełnosprawną – jest to</w:t>
      </w:r>
      <w:r w:rsidRPr="009C7467">
        <w:rPr>
          <w:rFonts w:ascii="Arial" w:hAnsi="Arial"/>
          <w:color w:val="000000"/>
          <w:sz w:val="24"/>
          <w:szCs w:val="24"/>
        </w:rPr>
        <w:t> współmałżonek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9C7467">
        <w:rPr>
          <w:rFonts w:ascii="Arial" w:hAnsi="Arial"/>
          <w:color w:val="000000"/>
          <w:sz w:val="24"/>
          <w:szCs w:val="24"/>
        </w:rPr>
        <w:t xml:space="preserve">lub inna osoba będąca </w:t>
      </w:r>
      <w:r>
        <w:rPr>
          <w:rFonts w:ascii="Arial" w:hAnsi="Arial"/>
          <w:color w:val="000000"/>
          <w:sz w:val="24"/>
          <w:szCs w:val="24"/>
        </w:rPr>
        <w:t>w stosunku do osoby zainteresowanej skorzystaniem z ulgi lub jej współmałżonka</w:t>
      </w:r>
      <w:r w:rsidRPr="009C7467">
        <w:rPr>
          <w:rFonts w:ascii="Arial" w:hAnsi="Arial"/>
          <w:color w:val="000000"/>
          <w:sz w:val="24"/>
          <w:szCs w:val="24"/>
        </w:rPr>
        <w:t xml:space="preserve"> osobą zaliczaną do I grupy podatkowej w rozumieniu przepisów ustawy o podatku od spadków i darowizn (zstępni, wstępni, pasierb, zięć, synowa, rodzeństwo, ojczym, macocha, teściowie) lub dziecko obce przyjęte na wychowanie</w:t>
      </w:r>
      <w:r>
        <w:rPr>
          <w:rFonts w:ascii="Arial" w:hAnsi="Arial"/>
          <w:color w:val="000000"/>
          <w:sz w:val="24"/>
          <w:szCs w:val="24"/>
        </w:rPr>
        <w:t>.</w:t>
      </w:r>
    </w:p>
    <w:p w14:paraId="3F44C015" w14:textId="69C4A192" w:rsidR="00BB404C" w:rsidRDefault="00C5525A" w:rsidP="00BB404C">
      <w:pPr>
        <w:spacing w:line="276" w:lineRule="auto"/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Szczegółowe określenie tego c</w:t>
      </w:r>
      <w:r w:rsidR="009C7467">
        <w:rPr>
          <w:rFonts w:ascii="Arial" w:hAnsi="Arial"/>
          <w:color w:val="000000"/>
          <w:sz w:val="24"/>
          <w:szCs w:val="24"/>
        </w:rPr>
        <w:t>zym w istocie są</w:t>
      </w:r>
      <w:r>
        <w:rPr>
          <w:rFonts w:ascii="Arial" w:hAnsi="Arial"/>
          <w:color w:val="000000"/>
          <w:sz w:val="24"/>
          <w:szCs w:val="24"/>
        </w:rPr>
        <w:t xml:space="preserve"> wydatki na cele rehabilitacyjne oraz wydatki związane z ułatwieniem wykonywania czynności życiowych zostało ujęte w art. 26 ust. 7a</w:t>
      </w:r>
      <w:r w:rsidR="00BB404C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ustawy o podatku dochodowym od osób fizycznych. Są to m.in. wydatki na </w:t>
      </w:r>
      <w:r w:rsidRPr="00C5525A">
        <w:rPr>
          <w:rFonts w:ascii="Arial" w:hAnsi="Arial"/>
          <w:color w:val="000000"/>
          <w:sz w:val="24"/>
          <w:szCs w:val="24"/>
        </w:rPr>
        <w:t>adaptację i wyposażenie mieszkań oraz budynków mieszkalnych</w:t>
      </w:r>
      <w:r>
        <w:rPr>
          <w:rFonts w:ascii="Arial" w:hAnsi="Arial"/>
          <w:color w:val="000000"/>
          <w:sz w:val="24"/>
          <w:szCs w:val="24"/>
        </w:rPr>
        <w:t xml:space="preserve"> czy też przystosowanie pojazdów mechanicznych</w:t>
      </w:r>
      <w:r w:rsidRPr="00C5525A">
        <w:rPr>
          <w:rFonts w:ascii="Arial" w:hAnsi="Arial"/>
          <w:color w:val="000000"/>
          <w:sz w:val="24"/>
          <w:szCs w:val="24"/>
        </w:rPr>
        <w:t xml:space="preserve"> stosownie do potrzeb wynikających z niepełnosprawności</w:t>
      </w:r>
      <w:r>
        <w:rPr>
          <w:rFonts w:ascii="Arial" w:hAnsi="Arial"/>
          <w:color w:val="000000"/>
          <w:sz w:val="24"/>
          <w:szCs w:val="24"/>
        </w:rPr>
        <w:t>, zakup sprzętu niezbędnego do rehabilitacji, odpłatności za pobyt na turnusie rehabilitacyjnym, w zakładzie lecznictwa uzdrowiskowego, zakładzie opiekuńczo-leczniczym, odpłatność za zabiegi rehabilitacyjne, utrzymanie psa asystującego, opłacenie tłumacza języka migowego, opłaty za kolonie i obozy dla dzieci i młodzieży niepełnosprawnej, zakup leków które przyjmowane są po uprzednim stwierdzeniu przez lekarza specjalistę</w:t>
      </w:r>
      <w:r w:rsidR="009C7467">
        <w:rPr>
          <w:rFonts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że powinny być one </w:t>
      </w:r>
      <w:r w:rsidR="009C7467">
        <w:rPr>
          <w:rFonts w:ascii="Arial" w:hAnsi="Arial"/>
          <w:color w:val="000000"/>
          <w:sz w:val="24"/>
          <w:szCs w:val="24"/>
        </w:rPr>
        <w:t xml:space="preserve">przez osobę niepełnosprawną </w:t>
      </w:r>
      <w:r>
        <w:rPr>
          <w:rFonts w:ascii="Arial" w:hAnsi="Arial"/>
          <w:color w:val="000000"/>
          <w:sz w:val="24"/>
          <w:szCs w:val="24"/>
        </w:rPr>
        <w:t>stosowane stale lub czasowo</w:t>
      </w:r>
      <w:r w:rsidR="009C7467">
        <w:rPr>
          <w:rFonts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czy też używanie samochodu osobowego przez osobę niepełnosprawną.  </w:t>
      </w:r>
    </w:p>
    <w:p w14:paraId="46853F6D" w14:textId="317000E7" w:rsidR="0051780F" w:rsidRDefault="009C7467" w:rsidP="009C7467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lastRenderedPageBreak/>
        <w:t xml:space="preserve">Poszczególne wydatki wskazane w treści ustawy, rozróżnia się na wydatki nielimitowane oraz limitowane. Nielimitowane to wydatki, które można odliczyć od podatku w pełnej wysokości. Limitowane zaś, dotyczą takich wydatków, których kwota do odliczenia uwzględnia – górny lub dolny limit kwotowy. </w:t>
      </w:r>
    </w:p>
    <w:p w14:paraId="7A4330E1" w14:textId="5784583E" w:rsidR="009817CA" w:rsidRDefault="009817CA" w:rsidP="009C7467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Wysokość wydatków ustala się na podstawie dokumentów, które potwierdzają ich poniesienie np. faktura, rachunek, dowód wpłaty na poczcie lub potwierdzenie przelewu bankowego. </w:t>
      </w:r>
    </w:p>
    <w:p w14:paraId="00DF253F" w14:textId="03C36ACA" w:rsidR="0051780F" w:rsidRDefault="0085337D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Opracowała</w:t>
      </w:r>
      <w:r w:rsidR="00CF58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Prawnik</w:t>
      </w:r>
    </w:p>
    <w:p w14:paraId="0BA4A3E7" w14:textId="5202EC4D" w:rsidR="0051780F" w:rsidRDefault="0085337D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</w:t>
      </w:r>
      <w:r w:rsidR="00CF58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Małgorzata Wdowiak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4630895E" w14:textId="77777777" w:rsidR="0051780F" w:rsidRDefault="0051780F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F12C62F" w14:textId="77777777" w:rsidR="0051780F" w:rsidRDefault="0051780F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E49D1F1" w14:textId="77777777" w:rsidR="0051780F" w:rsidRDefault="0051780F">
      <w:pPr>
        <w:rPr>
          <w:rFonts w:ascii="Arial" w:hAnsi="Arial"/>
          <w:color w:val="000000"/>
          <w:sz w:val="24"/>
          <w:szCs w:val="24"/>
        </w:rPr>
      </w:pPr>
    </w:p>
    <w:sectPr w:rsidR="00517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16921" w14:textId="77777777" w:rsidR="0085337D" w:rsidRDefault="0085337D">
      <w:pPr>
        <w:spacing w:after="0" w:line="240" w:lineRule="auto"/>
      </w:pPr>
      <w:r>
        <w:separator/>
      </w:r>
    </w:p>
  </w:endnote>
  <w:endnote w:type="continuationSeparator" w:id="0">
    <w:p w14:paraId="143DD95F" w14:textId="77777777" w:rsidR="0085337D" w:rsidRDefault="0085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EDE1" w14:textId="77777777" w:rsidR="0051780F" w:rsidRDefault="005178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20345"/>
      <w:docPartObj>
        <w:docPartGallery w:val="Page Numbers (Bottom of Page)"/>
        <w:docPartUnique/>
      </w:docPartObj>
    </w:sdtPr>
    <w:sdtEndPr/>
    <w:sdtContent>
      <w:p w14:paraId="5251F107" w14:textId="77777777" w:rsidR="0051780F" w:rsidRDefault="0085337D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88777" w14:textId="77777777" w:rsidR="0051780F" w:rsidRDefault="005178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3222734"/>
      <w:docPartObj>
        <w:docPartGallery w:val="Page Numbers (Bottom of Page)"/>
        <w:docPartUnique/>
      </w:docPartObj>
    </w:sdtPr>
    <w:sdtEndPr/>
    <w:sdtContent>
      <w:p w14:paraId="1CDB4678" w14:textId="77777777" w:rsidR="0051780F" w:rsidRDefault="0085337D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2B338D" w14:textId="77777777" w:rsidR="0051780F" w:rsidRDefault="005178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48805" w14:textId="77777777" w:rsidR="0085337D" w:rsidRDefault="0085337D">
      <w:pPr>
        <w:spacing w:after="0" w:line="240" w:lineRule="auto"/>
      </w:pPr>
      <w:r>
        <w:separator/>
      </w:r>
    </w:p>
  </w:footnote>
  <w:footnote w:type="continuationSeparator" w:id="0">
    <w:p w14:paraId="7A8AB603" w14:textId="77777777" w:rsidR="0085337D" w:rsidRDefault="0085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9D4A0" w14:textId="77777777" w:rsidR="0051780F" w:rsidRDefault="005178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584A3" w14:textId="77777777" w:rsidR="0051780F" w:rsidRDefault="0085337D">
    <w:pPr>
      <w:pStyle w:val="Nagwek"/>
    </w:pPr>
    <w:r>
      <w:rPr>
        <w:noProof/>
      </w:rPr>
      <w:drawing>
        <wp:inline distT="0" distB="0" distL="0" distR="0" wp14:anchorId="5FFED9C8" wp14:editId="4EF5AB17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5984" w14:textId="77777777" w:rsidR="0051780F" w:rsidRDefault="0085337D">
    <w:pPr>
      <w:pStyle w:val="Nagwek"/>
    </w:pPr>
    <w:r>
      <w:rPr>
        <w:noProof/>
      </w:rPr>
      <w:drawing>
        <wp:inline distT="0" distB="0" distL="0" distR="0" wp14:anchorId="41B17E9A" wp14:editId="5152AD57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87707"/>
    <w:multiLevelType w:val="multilevel"/>
    <w:tmpl w:val="39D8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0F"/>
    <w:rsid w:val="00033894"/>
    <w:rsid w:val="00393036"/>
    <w:rsid w:val="0051780F"/>
    <w:rsid w:val="007D3D1F"/>
    <w:rsid w:val="0085337D"/>
    <w:rsid w:val="009817CA"/>
    <w:rsid w:val="009C7467"/>
    <w:rsid w:val="00B1185E"/>
    <w:rsid w:val="00B40D9C"/>
    <w:rsid w:val="00BB404C"/>
    <w:rsid w:val="00C31880"/>
    <w:rsid w:val="00C5525A"/>
    <w:rsid w:val="00C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8818"/>
  <w15:docId w15:val="{8D1BC138-C0F8-4758-A5AE-3699A0CE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0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318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88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33894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0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2</cp:revision>
  <cp:lastPrinted>2024-10-25T15:29:00Z</cp:lastPrinted>
  <dcterms:created xsi:type="dcterms:W3CDTF">2025-03-09T19:13:00Z</dcterms:created>
  <dcterms:modified xsi:type="dcterms:W3CDTF">2025-03-09T19:13:00Z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