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43CC" w14:textId="77777777" w:rsidR="00497893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23B4FA0A" w14:textId="609C0189" w:rsidR="002C1F81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Gołąb, dnia </w:t>
      </w:r>
      <w:r w:rsidR="008F17C7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3</w:t>
      </w: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8F17C7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lipca</w:t>
      </w: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2025 r.</w:t>
      </w:r>
    </w:p>
    <w:p w14:paraId="0FEB9D0D" w14:textId="77777777" w:rsidR="004B0186" w:rsidRPr="00497893" w:rsidRDefault="004B0186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70E92061" w14:textId="7DCE7886" w:rsidR="002C1F81" w:rsidRDefault="00D34A31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TESTAMENT </w:t>
      </w:r>
      <w:r w:rsidR="008F17C7">
        <w:rPr>
          <w:rFonts w:ascii="Arial" w:hAnsi="Arial"/>
          <w:b/>
          <w:bCs/>
          <w:color w:val="000000"/>
          <w:sz w:val="24"/>
          <w:szCs w:val="24"/>
        </w:rPr>
        <w:t>NOTARIALNY</w:t>
      </w:r>
    </w:p>
    <w:p w14:paraId="34F6F555" w14:textId="256DD346" w:rsidR="00772CC5" w:rsidRDefault="00D34A31" w:rsidP="008F17C7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Testament </w:t>
      </w:r>
      <w:r w:rsidR="00E57D20">
        <w:rPr>
          <w:rFonts w:ascii="Arial" w:hAnsi="Arial"/>
          <w:color w:val="000000"/>
          <w:sz w:val="24"/>
          <w:szCs w:val="24"/>
        </w:rPr>
        <w:t xml:space="preserve">notarialny </w:t>
      </w:r>
      <w:r w:rsidR="00E57D20" w:rsidRPr="00E57D20">
        <w:rPr>
          <w:rFonts w:ascii="Arial" w:hAnsi="Arial"/>
          <w:color w:val="000000"/>
          <w:sz w:val="24"/>
          <w:szCs w:val="24"/>
        </w:rPr>
        <w:t>to jedna z najpewniejszych i najbezpieczniejszych form rozrządzenia majątkiem na wypadek śmierci. Sporządzany jest przez notariusza w formie aktu notarialnego i zapewnia spadkodawcy pewność, że jego ostatnia wola zostanie prawidłowo zrealizowana.</w:t>
      </w:r>
      <w:r w:rsidR="00E57D20">
        <w:rPr>
          <w:rFonts w:ascii="Arial" w:hAnsi="Arial"/>
          <w:color w:val="000000"/>
          <w:sz w:val="24"/>
          <w:szCs w:val="24"/>
        </w:rPr>
        <w:t xml:space="preserve"> Ta oficjalna forma testamentu została uregulowana w art. 950 ustawy z dnia 23 kwietnia 1964 r. kodeks cywilny (</w:t>
      </w:r>
      <w:r w:rsidR="00E57D20" w:rsidRPr="00E57D20">
        <w:rPr>
          <w:rFonts w:ascii="Arial" w:hAnsi="Arial"/>
          <w:color w:val="000000"/>
          <w:sz w:val="24"/>
          <w:szCs w:val="24"/>
        </w:rPr>
        <w:t>Dz.U.</w:t>
      </w:r>
      <w:r w:rsidR="00E57D20">
        <w:rPr>
          <w:rFonts w:ascii="Arial" w:hAnsi="Arial"/>
          <w:color w:val="000000"/>
          <w:sz w:val="24"/>
          <w:szCs w:val="24"/>
        </w:rPr>
        <w:t xml:space="preserve"> z </w:t>
      </w:r>
      <w:r w:rsidR="00E57D20" w:rsidRPr="00E57D20">
        <w:rPr>
          <w:rFonts w:ascii="Arial" w:hAnsi="Arial"/>
          <w:color w:val="000000"/>
          <w:sz w:val="24"/>
          <w:szCs w:val="24"/>
        </w:rPr>
        <w:t>2024</w:t>
      </w:r>
      <w:r w:rsidR="00E57D20">
        <w:rPr>
          <w:rFonts w:ascii="Arial" w:hAnsi="Arial"/>
          <w:color w:val="000000"/>
          <w:sz w:val="24"/>
          <w:szCs w:val="24"/>
        </w:rPr>
        <w:t xml:space="preserve"> r</w:t>
      </w:r>
      <w:r w:rsidR="00E57D20" w:rsidRPr="00E57D20">
        <w:rPr>
          <w:rFonts w:ascii="Arial" w:hAnsi="Arial"/>
          <w:color w:val="000000"/>
          <w:sz w:val="24"/>
          <w:szCs w:val="24"/>
        </w:rPr>
        <w:t>.</w:t>
      </w:r>
      <w:r w:rsidR="00E57D20">
        <w:rPr>
          <w:rFonts w:ascii="Arial" w:hAnsi="Arial"/>
          <w:color w:val="000000"/>
          <w:sz w:val="24"/>
          <w:szCs w:val="24"/>
        </w:rPr>
        <w:t xml:space="preserve"> poz. </w:t>
      </w:r>
      <w:r w:rsidR="00E57D20" w:rsidRPr="00E57D20">
        <w:rPr>
          <w:rFonts w:ascii="Arial" w:hAnsi="Arial"/>
          <w:color w:val="000000"/>
          <w:sz w:val="24"/>
          <w:szCs w:val="24"/>
        </w:rPr>
        <w:t>1061</w:t>
      </w:r>
      <w:r w:rsidR="00E57D20">
        <w:rPr>
          <w:rFonts w:ascii="Arial" w:hAnsi="Arial"/>
          <w:color w:val="000000"/>
          <w:sz w:val="24"/>
          <w:szCs w:val="24"/>
        </w:rPr>
        <w:t xml:space="preserve">). </w:t>
      </w:r>
    </w:p>
    <w:p w14:paraId="395F7708" w14:textId="77777777" w:rsidR="00E57D20" w:rsidRDefault="00E57D20" w:rsidP="00E57D20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E57D20">
        <w:rPr>
          <w:rFonts w:ascii="Arial" w:hAnsi="Arial"/>
          <w:color w:val="000000"/>
          <w:sz w:val="24"/>
          <w:szCs w:val="24"/>
        </w:rPr>
        <w:t>W przeciwieństwie do testamentu własnoręcznego (holograficznego), testament notarialny daje większe bezpieczeństwo prawne i trudniej go podważyć w przypadku sporu między spadkobiercami.</w:t>
      </w:r>
    </w:p>
    <w:p w14:paraId="03984DB5" w14:textId="5E8CAE88" w:rsidR="00E57D20" w:rsidRDefault="00E57D20" w:rsidP="00E57D20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E57D20">
        <w:rPr>
          <w:rFonts w:ascii="Arial" w:hAnsi="Arial"/>
          <w:color w:val="000000"/>
          <w:sz w:val="24"/>
          <w:szCs w:val="24"/>
        </w:rPr>
        <w:t>Testament notarialny warto sporządzić</w:t>
      </w:r>
      <w:r>
        <w:rPr>
          <w:rFonts w:ascii="Arial" w:hAnsi="Arial"/>
          <w:color w:val="000000"/>
          <w:sz w:val="24"/>
          <w:szCs w:val="24"/>
        </w:rPr>
        <w:t>, m.in. gdy s</w:t>
      </w:r>
      <w:r w:rsidRPr="00E57D20">
        <w:rPr>
          <w:rFonts w:ascii="Arial" w:hAnsi="Arial"/>
          <w:color w:val="000000"/>
          <w:sz w:val="24"/>
          <w:szCs w:val="24"/>
        </w:rPr>
        <w:t>padkodawca chce uniknąć ryzyka nieważności testamentu własnoręcznego</w:t>
      </w:r>
      <w:r>
        <w:rPr>
          <w:rFonts w:ascii="Arial" w:hAnsi="Arial"/>
          <w:color w:val="000000"/>
          <w:sz w:val="24"/>
          <w:szCs w:val="24"/>
        </w:rPr>
        <w:t>, p</w:t>
      </w:r>
      <w:r w:rsidRPr="00E57D20">
        <w:rPr>
          <w:rFonts w:ascii="Arial" w:hAnsi="Arial"/>
          <w:color w:val="000000"/>
          <w:sz w:val="24"/>
          <w:szCs w:val="24"/>
        </w:rPr>
        <w:t>osiada skomplikowaną sytuację rodzinną lub majątkową</w:t>
      </w:r>
      <w:r>
        <w:rPr>
          <w:rFonts w:ascii="Arial" w:hAnsi="Arial"/>
          <w:color w:val="000000"/>
          <w:sz w:val="24"/>
          <w:szCs w:val="24"/>
        </w:rPr>
        <w:t>, c</w:t>
      </w:r>
      <w:r w:rsidRPr="00E57D20">
        <w:rPr>
          <w:rFonts w:ascii="Arial" w:hAnsi="Arial"/>
          <w:color w:val="000000"/>
          <w:sz w:val="24"/>
          <w:szCs w:val="24"/>
        </w:rPr>
        <w:t>hce rozporządzić majątkiem w sposób odbiegający od ustawowego porządku dziedziczenia</w:t>
      </w:r>
      <w:r>
        <w:rPr>
          <w:rFonts w:ascii="Arial" w:hAnsi="Arial"/>
          <w:color w:val="000000"/>
          <w:sz w:val="24"/>
          <w:szCs w:val="24"/>
        </w:rPr>
        <w:t>, c</w:t>
      </w:r>
      <w:r w:rsidRPr="00E57D20">
        <w:rPr>
          <w:rFonts w:ascii="Arial" w:hAnsi="Arial"/>
          <w:color w:val="000000"/>
          <w:sz w:val="24"/>
          <w:szCs w:val="24"/>
        </w:rPr>
        <w:t>hce uniknąć przyszłych konfliktów między spadkobiercami</w:t>
      </w:r>
      <w:r>
        <w:rPr>
          <w:rFonts w:ascii="Arial" w:hAnsi="Arial"/>
          <w:color w:val="000000"/>
          <w:sz w:val="24"/>
          <w:szCs w:val="24"/>
        </w:rPr>
        <w:t>, c</w:t>
      </w:r>
      <w:r w:rsidRPr="00E57D20">
        <w:rPr>
          <w:rFonts w:ascii="Arial" w:hAnsi="Arial"/>
          <w:color w:val="000000"/>
          <w:sz w:val="24"/>
          <w:szCs w:val="24"/>
        </w:rPr>
        <w:t>hce, aby testament był przechowywany bezpiecznie i był łatwo dostępny po jego śmierci.</w:t>
      </w:r>
    </w:p>
    <w:p w14:paraId="08C1EEE0" w14:textId="0B0392C7" w:rsidR="00E57D20" w:rsidRPr="00E57D20" w:rsidRDefault="00E57D20" w:rsidP="00E57D20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Procedura </w:t>
      </w:r>
      <w:r w:rsidRPr="00E57D20">
        <w:rPr>
          <w:rFonts w:ascii="Arial" w:hAnsi="Arial"/>
          <w:color w:val="000000"/>
          <w:sz w:val="24"/>
          <w:szCs w:val="24"/>
        </w:rPr>
        <w:t>sporządzenia testamentu notarialnego</w:t>
      </w:r>
      <w:r>
        <w:rPr>
          <w:rFonts w:ascii="Arial" w:hAnsi="Arial"/>
          <w:color w:val="000000"/>
          <w:sz w:val="24"/>
          <w:szCs w:val="24"/>
        </w:rPr>
        <w:t xml:space="preserve"> polega na odbyciu wizyty u notariusza, gdzie spadkodawca przedstawia swoją wolę. Następnie na podstawie przekazanych informacji notariusz przygotowuje treść testamentu. Kolejno następuje odczytanie aktu notarialnego przez notariusza i podpisanie go przez spadkodawcę. </w:t>
      </w:r>
    </w:p>
    <w:p w14:paraId="42B5A171" w14:textId="3D68A4C8" w:rsidR="00E57D20" w:rsidRDefault="00E57D20" w:rsidP="000A048D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Kolejno wskazać należy, że testament może także zostać zarejestrowany w </w:t>
      </w:r>
      <w:r w:rsidRPr="00E57D20">
        <w:rPr>
          <w:rFonts w:ascii="Arial" w:hAnsi="Arial"/>
          <w:color w:val="000000"/>
          <w:sz w:val="24"/>
          <w:szCs w:val="24"/>
        </w:rPr>
        <w:t>Notarialnym Rejestrze Testamentów (NORT)</w:t>
      </w:r>
      <w:r w:rsidR="000A048D">
        <w:rPr>
          <w:rFonts w:ascii="Arial" w:hAnsi="Arial"/>
          <w:color w:val="000000"/>
          <w:sz w:val="24"/>
          <w:szCs w:val="24"/>
        </w:rPr>
        <w:t>. Podkreślić jednak należy, że t</w:t>
      </w:r>
      <w:r w:rsidRPr="00E57D20">
        <w:rPr>
          <w:rFonts w:ascii="Arial" w:hAnsi="Arial"/>
          <w:color w:val="000000"/>
          <w:sz w:val="24"/>
          <w:szCs w:val="24"/>
        </w:rPr>
        <w:t>estament może, ale nie musi, zostać zarejestrowany. Rejestracja jest dobrowolna i bezpłatna, ale zwiększa szansę na odnalezienie testamentu po śmierci spadkodawcy.</w:t>
      </w:r>
      <w:r w:rsidR="000A048D">
        <w:rPr>
          <w:rFonts w:ascii="Arial" w:hAnsi="Arial"/>
          <w:color w:val="000000"/>
          <w:sz w:val="24"/>
          <w:szCs w:val="24"/>
        </w:rPr>
        <w:t xml:space="preserve"> </w:t>
      </w:r>
      <w:r w:rsidR="000A048D" w:rsidRPr="000A048D">
        <w:rPr>
          <w:rFonts w:ascii="Arial" w:hAnsi="Arial"/>
          <w:color w:val="000000"/>
          <w:sz w:val="24"/>
          <w:szCs w:val="24"/>
        </w:rPr>
        <w:t>Wpis do NORT nie jest obowiązkowy – testament rejestrowany jest wyłącznie na wniosek testatora, który może być złożony bezpośrednio w testamencie notarialnym</w:t>
      </w:r>
      <w:r w:rsidR="000A048D">
        <w:rPr>
          <w:rFonts w:ascii="Arial" w:hAnsi="Arial"/>
          <w:color w:val="000000"/>
          <w:sz w:val="24"/>
          <w:szCs w:val="24"/>
        </w:rPr>
        <w:t xml:space="preserve"> </w:t>
      </w:r>
      <w:r w:rsidR="000A048D" w:rsidRPr="000A048D">
        <w:rPr>
          <w:rFonts w:ascii="Arial" w:hAnsi="Arial"/>
          <w:color w:val="000000"/>
          <w:sz w:val="24"/>
          <w:szCs w:val="24"/>
        </w:rPr>
        <w:t>lub w oddzielnym protokole</w:t>
      </w:r>
      <w:r w:rsidR="000A048D">
        <w:rPr>
          <w:rFonts w:ascii="Arial" w:hAnsi="Arial"/>
          <w:color w:val="000000"/>
          <w:sz w:val="24"/>
          <w:szCs w:val="24"/>
        </w:rPr>
        <w:t xml:space="preserve">. </w:t>
      </w:r>
      <w:r w:rsidR="000A048D" w:rsidRPr="000A048D">
        <w:rPr>
          <w:rFonts w:ascii="Arial" w:hAnsi="Arial"/>
          <w:color w:val="000000"/>
          <w:sz w:val="24"/>
          <w:szCs w:val="24"/>
        </w:rPr>
        <w:t>Jeśli testator zmieni swoją wolę, może zażądać usunięcia starego testamentu z rejestru oraz sporządzić i zarejestrować nowy. Zarejestrowanie testamentu w NORT jest dobrowolne.</w:t>
      </w:r>
    </w:p>
    <w:p w14:paraId="207A08A9" w14:textId="3C0BB3E0" w:rsidR="00E57D20" w:rsidRPr="00E57D20" w:rsidRDefault="000A048D" w:rsidP="000A048D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Warto także wskazać, że </w:t>
      </w:r>
      <w:r w:rsidR="00E57D20" w:rsidRPr="00E57D20">
        <w:rPr>
          <w:rFonts w:ascii="Arial" w:hAnsi="Arial"/>
          <w:color w:val="000000"/>
          <w:sz w:val="24"/>
          <w:szCs w:val="24"/>
        </w:rPr>
        <w:t xml:space="preserve">testament notarialny </w:t>
      </w:r>
      <w:r>
        <w:rPr>
          <w:rFonts w:ascii="Arial" w:hAnsi="Arial"/>
          <w:color w:val="000000"/>
          <w:sz w:val="24"/>
          <w:szCs w:val="24"/>
        </w:rPr>
        <w:t xml:space="preserve">nie </w:t>
      </w:r>
      <w:r w:rsidR="00E57D20" w:rsidRPr="00E57D20">
        <w:rPr>
          <w:rFonts w:ascii="Arial" w:hAnsi="Arial"/>
          <w:color w:val="000000"/>
          <w:sz w:val="24"/>
          <w:szCs w:val="24"/>
        </w:rPr>
        <w:t>jest obowiązkowy</w:t>
      </w:r>
      <w:r>
        <w:rPr>
          <w:rFonts w:ascii="Arial" w:hAnsi="Arial"/>
          <w:color w:val="000000"/>
          <w:sz w:val="24"/>
          <w:szCs w:val="24"/>
        </w:rPr>
        <w:t>. Zgodnie z powszechnie obowiązującym prawem</w:t>
      </w:r>
      <w:r w:rsidR="00E57D20" w:rsidRPr="00E57D20">
        <w:rPr>
          <w:rFonts w:ascii="Arial" w:hAnsi="Arial"/>
          <w:color w:val="000000"/>
          <w:sz w:val="24"/>
          <w:szCs w:val="24"/>
        </w:rPr>
        <w:t xml:space="preserve"> testament można sporządzić także własnoręcznie lub w innych formach szczególnych</w:t>
      </w:r>
      <w:r>
        <w:rPr>
          <w:rFonts w:ascii="Arial" w:hAnsi="Arial"/>
          <w:color w:val="000000"/>
          <w:sz w:val="24"/>
          <w:szCs w:val="24"/>
        </w:rPr>
        <w:t xml:space="preserve">. </w:t>
      </w:r>
      <w:r w:rsidR="00E57D20" w:rsidRPr="00E57D20">
        <w:rPr>
          <w:rFonts w:ascii="Arial" w:hAnsi="Arial"/>
          <w:color w:val="000000"/>
          <w:sz w:val="24"/>
          <w:szCs w:val="24"/>
        </w:rPr>
        <w:t>Jednak testament notarialny</w:t>
      </w:r>
      <w:r>
        <w:rPr>
          <w:rFonts w:ascii="Arial" w:hAnsi="Arial"/>
          <w:color w:val="000000"/>
          <w:sz w:val="24"/>
          <w:szCs w:val="24"/>
        </w:rPr>
        <w:t xml:space="preserve"> uznawany jest za</w:t>
      </w:r>
      <w:r w:rsidR="00E57D20" w:rsidRPr="00E57D20">
        <w:rPr>
          <w:rFonts w:ascii="Arial" w:hAnsi="Arial"/>
          <w:color w:val="000000"/>
          <w:sz w:val="24"/>
          <w:szCs w:val="24"/>
        </w:rPr>
        <w:t xml:space="preserve"> daj</w:t>
      </w:r>
      <w:r>
        <w:rPr>
          <w:rFonts w:ascii="Arial" w:hAnsi="Arial"/>
          <w:color w:val="000000"/>
          <w:sz w:val="24"/>
          <w:szCs w:val="24"/>
        </w:rPr>
        <w:t>ący</w:t>
      </w:r>
      <w:r w:rsidR="00E57D20" w:rsidRPr="00E57D20">
        <w:rPr>
          <w:rFonts w:ascii="Arial" w:hAnsi="Arial"/>
          <w:color w:val="000000"/>
          <w:sz w:val="24"/>
          <w:szCs w:val="24"/>
        </w:rPr>
        <w:t xml:space="preserve"> największą pewność prawną i jest najbardziej rekomendowaną formą przy istotnych rozrządzeniach majątkowych.</w:t>
      </w:r>
    </w:p>
    <w:p w14:paraId="04AB062D" w14:textId="77777777" w:rsidR="00E57D20" w:rsidRPr="00E57D20" w:rsidRDefault="00E57D20" w:rsidP="00E57D20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</w:p>
    <w:p w14:paraId="4C57A7CC" w14:textId="169A53FC" w:rsidR="00242FC9" w:rsidRPr="00303D7C" w:rsidRDefault="004B0186" w:rsidP="00303D7C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                                                                         </w:t>
      </w:r>
    </w:p>
    <w:p w14:paraId="06C88A3F" w14:textId="366E9BB1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Opracowała: Prawnik</w:t>
      </w:r>
    </w:p>
    <w:p w14:paraId="566C5127" w14:textId="0436ABB7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Małgorzata Wdowiak </w:t>
      </w:r>
    </w:p>
    <w:p w14:paraId="14721CD6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8C90525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2D7609D" w14:textId="77777777" w:rsidR="002C1F81" w:rsidRDefault="002C1F81">
      <w:pPr>
        <w:rPr>
          <w:rFonts w:ascii="Arial" w:hAnsi="Arial"/>
          <w:color w:val="000000"/>
          <w:sz w:val="24"/>
          <w:szCs w:val="24"/>
        </w:rPr>
      </w:pPr>
    </w:p>
    <w:sectPr w:rsidR="002C1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DE79" w14:textId="77777777" w:rsidR="009E045E" w:rsidRDefault="009E045E">
      <w:pPr>
        <w:spacing w:after="0" w:line="240" w:lineRule="auto"/>
      </w:pPr>
      <w:r>
        <w:separator/>
      </w:r>
    </w:p>
  </w:endnote>
  <w:endnote w:type="continuationSeparator" w:id="0">
    <w:p w14:paraId="2A99A392" w14:textId="77777777" w:rsidR="009E045E" w:rsidRDefault="009E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6C07" w14:textId="77777777" w:rsidR="002C1F81" w:rsidRDefault="002C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55437AB7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7AE04" w14:textId="77777777" w:rsidR="002C1F81" w:rsidRDefault="002C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984399"/>
      <w:docPartObj>
        <w:docPartGallery w:val="Page Numbers (Bottom of Page)"/>
        <w:docPartUnique/>
      </w:docPartObj>
    </w:sdtPr>
    <w:sdtContent>
      <w:p w14:paraId="4D5A5D11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14605" w14:textId="77777777" w:rsidR="002C1F81" w:rsidRDefault="002C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9F94" w14:textId="77777777" w:rsidR="009E045E" w:rsidRDefault="009E045E">
      <w:pPr>
        <w:spacing w:after="0" w:line="240" w:lineRule="auto"/>
      </w:pPr>
      <w:r>
        <w:separator/>
      </w:r>
    </w:p>
  </w:footnote>
  <w:footnote w:type="continuationSeparator" w:id="0">
    <w:p w14:paraId="2BFC9EAA" w14:textId="77777777" w:rsidR="009E045E" w:rsidRDefault="009E0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1BE2" w14:textId="77777777" w:rsidR="002C1F81" w:rsidRDefault="002C1F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452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412E74EE" wp14:editId="2E48933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E8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3145A7FC" wp14:editId="584A4F0E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81"/>
    <w:rsid w:val="00041497"/>
    <w:rsid w:val="00043CF4"/>
    <w:rsid w:val="000A048D"/>
    <w:rsid w:val="000A2F57"/>
    <w:rsid w:val="000A48C9"/>
    <w:rsid w:val="00110560"/>
    <w:rsid w:val="001129EF"/>
    <w:rsid w:val="001E6A3A"/>
    <w:rsid w:val="00242FC9"/>
    <w:rsid w:val="002C1F81"/>
    <w:rsid w:val="002E71DD"/>
    <w:rsid w:val="00302DA5"/>
    <w:rsid w:val="00303D7C"/>
    <w:rsid w:val="003F7E0A"/>
    <w:rsid w:val="00436D59"/>
    <w:rsid w:val="00497893"/>
    <w:rsid w:val="004B0186"/>
    <w:rsid w:val="005D2E28"/>
    <w:rsid w:val="00772CC5"/>
    <w:rsid w:val="0079545E"/>
    <w:rsid w:val="00796E71"/>
    <w:rsid w:val="00806F8A"/>
    <w:rsid w:val="00831131"/>
    <w:rsid w:val="00852062"/>
    <w:rsid w:val="008F17C7"/>
    <w:rsid w:val="0098422B"/>
    <w:rsid w:val="009E045E"/>
    <w:rsid w:val="00A123F7"/>
    <w:rsid w:val="00C532D7"/>
    <w:rsid w:val="00D34A31"/>
    <w:rsid w:val="00D719B3"/>
    <w:rsid w:val="00DF3581"/>
    <w:rsid w:val="00E57D20"/>
    <w:rsid w:val="00E83A29"/>
    <w:rsid w:val="00F64FEB"/>
    <w:rsid w:val="00F966EF"/>
    <w:rsid w:val="00FC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DF95"/>
  <w15:docId w15:val="{4FBF1136-34E3-4D35-8114-1AE5577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4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4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5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Małgorzata Wdowiak</cp:lastModifiedBy>
  <cp:revision>3</cp:revision>
  <cp:lastPrinted>2024-10-25T15:29:00Z</cp:lastPrinted>
  <dcterms:created xsi:type="dcterms:W3CDTF">2025-08-05T08:26:00Z</dcterms:created>
  <dcterms:modified xsi:type="dcterms:W3CDTF">2025-08-05T08:49:00Z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