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77C5F8AA" w:rsidR="005F6A80" w:rsidRPr="00AE0B8C" w:rsidRDefault="00AA27BD" w:rsidP="00AE0B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B8C">
        <w:rPr>
          <w:rFonts w:ascii="Times New Roman" w:hAnsi="Times New Roman" w:cs="Times New Roman"/>
          <w:sz w:val="24"/>
          <w:szCs w:val="24"/>
        </w:rPr>
        <w:t xml:space="preserve">Kazimierz Dolny, </w:t>
      </w:r>
      <w:r w:rsidR="009D1002">
        <w:rPr>
          <w:rFonts w:ascii="Times New Roman" w:hAnsi="Times New Roman" w:cs="Times New Roman"/>
          <w:sz w:val="24"/>
          <w:szCs w:val="24"/>
        </w:rPr>
        <w:t>15</w:t>
      </w:r>
      <w:r w:rsidRPr="00AE0B8C">
        <w:rPr>
          <w:rFonts w:ascii="Times New Roman" w:hAnsi="Times New Roman" w:cs="Times New Roman"/>
          <w:sz w:val="24"/>
          <w:szCs w:val="24"/>
        </w:rPr>
        <w:t>.0</w:t>
      </w:r>
      <w:r w:rsidR="009D1002">
        <w:rPr>
          <w:rFonts w:ascii="Times New Roman" w:hAnsi="Times New Roman" w:cs="Times New Roman"/>
          <w:sz w:val="24"/>
          <w:szCs w:val="24"/>
        </w:rPr>
        <w:t>7</w:t>
      </w:r>
      <w:r w:rsidRPr="00AE0B8C">
        <w:rPr>
          <w:rFonts w:ascii="Times New Roman" w:hAnsi="Times New Roman" w:cs="Times New Roman"/>
          <w:sz w:val="24"/>
          <w:szCs w:val="24"/>
        </w:rPr>
        <w:t>.2025 r.</w:t>
      </w:r>
    </w:p>
    <w:p w14:paraId="1963313C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Zatwierdzenie ugody mediacyjnej przez sąd – przesłanki i konsekwencje prawne</w:t>
      </w:r>
    </w:p>
    <w:p w14:paraId="0D648C70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656C5CA8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Mediacja, jako alternatywna metoda rozwiązywania sporów, znajduje coraz szersze zastosowanie w polskim systemie prawnym. Jej efektem może być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ugoda mediacyjna</w:t>
      </w:r>
      <w:r w:rsidRPr="00F000AE">
        <w:rPr>
          <w:rFonts w:ascii="Times New Roman" w:hAnsi="Times New Roman" w:cs="Times New Roman"/>
          <w:sz w:val="24"/>
          <w:szCs w:val="24"/>
        </w:rPr>
        <w:t xml:space="preserve">, zawarta przed mediatorem. Choć sama ugoda jest dokumentem cywilnoprawnym, aby uzyskała moc równą wyrokowi sądowemu i mogła być egzekwowana, musi zostać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zatwierdzona przez sąd</w:t>
      </w:r>
      <w:r w:rsidRPr="00F000AE">
        <w:rPr>
          <w:rFonts w:ascii="Times New Roman" w:hAnsi="Times New Roman" w:cs="Times New Roman"/>
          <w:sz w:val="24"/>
          <w:szCs w:val="24"/>
        </w:rPr>
        <w:t xml:space="preserve">. Zatwierdzenie ugody mediacyjnej to proces istotny zarówno dla stron, jak i dla skuteczności całej instytucji mediacji. W niniejszym artykule omówione zostaną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przesłanki</w:t>
      </w:r>
      <w:r w:rsidRPr="00F000AE">
        <w:rPr>
          <w:rFonts w:ascii="Times New Roman" w:hAnsi="Times New Roman" w:cs="Times New Roman"/>
          <w:sz w:val="24"/>
          <w:szCs w:val="24"/>
        </w:rPr>
        <w:t xml:space="preserve"> zatwierdzania ugód oraz ich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konsekwencje prawne</w:t>
      </w:r>
      <w:r w:rsidRPr="00F000AE">
        <w:rPr>
          <w:rFonts w:ascii="Times New Roman" w:hAnsi="Times New Roman" w:cs="Times New Roman"/>
          <w:sz w:val="24"/>
          <w:szCs w:val="24"/>
        </w:rPr>
        <w:t>.</w:t>
      </w:r>
    </w:p>
    <w:p w14:paraId="092B8D2C" w14:textId="259CCD04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3994A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Podstawy prawne</w:t>
      </w:r>
    </w:p>
    <w:p w14:paraId="5EAC9096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Instytucja zatwierdzania ugód mediacyjnych uregulowana jest przede wszystkim w Kodeksie postępowania cywilnego (k.p.c.), w szczególności w art.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183^14</w:t>
      </w:r>
      <w:r w:rsidRPr="00F000AE">
        <w:rPr>
          <w:rFonts w:ascii="Times New Roman" w:hAnsi="Times New Roman" w:cs="Times New Roman"/>
          <w:sz w:val="24"/>
          <w:szCs w:val="24"/>
        </w:rPr>
        <w:t>. Zgodnie z przepisem:</w:t>
      </w:r>
    </w:p>
    <w:p w14:paraId="1D33A921" w14:textId="77777777" w:rsidR="00F000AE" w:rsidRPr="00F000AE" w:rsidRDefault="00F000AE" w:rsidP="00F000AE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Ugoda zawarta przed mediatorem po jej zatwierdzeniu przez sąd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ma moc ugody zawartej przed sądem</w:t>
      </w:r>
      <w:r w:rsidRPr="00F000AE">
        <w:rPr>
          <w:rFonts w:ascii="Times New Roman" w:hAnsi="Times New Roman" w:cs="Times New Roman"/>
          <w:sz w:val="24"/>
          <w:szCs w:val="24"/>
        </w:rPr>
        <w:t>.</w:t>
      </w:r>
    </w:p>
    <w:p w14:paraId="61EC1A46" w14:textId="77777777" w:rsidR="00F000AE" w:rsidRPr="00F000AE" w:rsidRDefault="00F000AE" w:rsidP="00F000AE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W przypadku gdy ugoda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nadaje się do egzekucji</w:t>
      </w:r>
      <w:r w:rsidRPr="00F000AE">
        <w:rPr>
          <w:rFonts w:ascii="Times New Roman" w:hAnsi="Times New Roman" w:cs="Times New Roman"/>
          <w:sz w:val="24"/>
          <w:szCs w:val="24"/>
        </w:rPr>
        <w:t xml:space="preserve">, sąd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zatwierdza ją przez nadanie klauzuli wykonalności</w:t>
      </w:r>
      <w:r w:rsidRPr="00F000AE">
        <w:rPr>
          <w:rFonts w:ascii="Times New Roman" w:hAnsi="Times New Roman" w:cs="Times New Roman"/>
          <w:sz w:val="24"/>
          <w:szCs w:val="24"/>
        </w:rPr>
        <w:t>.</w:t>
      </w:r>
    </w:p>
    <w:p w14:paraId="39B8CD9E" w14:textId="77777777" w:rsidR="00F000AE" w:rsidRPr="00F000AE" w:rsidRDefault="00F000AE" w:rsidP="00F000AE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W innych przypadkach sąd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zatwierdza ugodę postanowieniem</w:t>
      </w:r>
      <w:r w:rsidRPr="00F000AE">
        <w:rPr>
          <w:rFonts w:ascii="Times New Roman" w:hAnsi="Times New Roman" w:cs="Times New Roman"/>
          <w:sz w:val="24"/>
          <w:szCs w:val="24"/>
        </w:rPr>
        <w:t>.</w:t>
      </w:r>
    </w:p>
    <w:p w14:paraId="01B4E63E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Ugoda może zostać zatwierdzona zarówno w toku postępowania sądowego, jak i po jego zakończeniu lub w ogóle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przed jego wszczęciem</w:t>
      </w:r>
      <w:r w:rsidRPr="00F000AE">
        <w:rPr>
          <w:rFonts w:ascii="Times New Roman" w:hAnsi="Times New Roman" w:cs="Times New Roman"/>
          <w:sz w:val="24"/>
          <w:szCs w:val="24"/>
        </w:rPr>
        <w:t>, jeśli mediacja miała charakter pozasądowy.</w:t>
      </w:r>
    </w:p>
    <w:p w14:paraId="13F182B6" w14:textId="5CBBA459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03DB6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Przesłanki zatwierdzenia ugody przez sąd</w:t>
      </w:r>
    </w:p>
    <w:p w14:paraId="5CBC456F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>Zatwierdzenie ugody mediacyjnej nie jest automatyczne. Sąd bada, czy zostały spełnione określone przesłanki:</w:t>
      </w:r>
    </w:p>
    <w:p w14:paraId="3DC096C1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Zgodność z prawem i zasadami współżycia społecznego</w:t>
      </w:r>
      <w:r w:rsidRPr="00F000AE">
        <w:rPr>
          <w:rFonts w:ascii="Times New Roman" w:hAnsi="Times New Roman" w:cs="Times New Roman"/>
          <w:sz w:val="24"/>
          <w:szCs w:val="24"/>
        </w:rPr>
        <w:br/>
        <w:t xml:space="preserve">Sąd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nie zatwierdzi ugody</w:t>
      </w:r>
      <w:r w:rsidRPr="00F000AE">
        <w:rPr>
          <w:rFonts w:ascii="Times New Roman" w:hAnsi="Times New Roman" w:cs="Times New Roman"/>
          <w:sz w:val="24"/>
          <w:szCs w:val="24"/>
        </w:rPr>
        <w:t>, jeżeli jej treść jest sprzeczna z prawem, zasadami współżycia społecznego lub zmierza do obejścia prawa. To ważna gwarancja ochrony interesu publicznego.</w:t>
      </w:r>
    </w:p>
    <w:p w14:paraId="20644561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2. Zrozumiałość i jednoznaczność</w:t>
      </w:r>
      <w:r w:rsidRPr="00F000AE">
        <w:rPr>
          <w:rFonts w:ascii="Times New Roman" w:hAnsi="Times New Roman" w:cs="Times New Roman"/>
          <w:sz w:val="24"/>
          <w:szCs w:val="24"/>
        </w:rPr>
        <w:br/>
        <w:t xml:space="preserve">Ugoda musi być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czytelna i precyzyjna</w:t>
      </w:r>
      <w:r w:rsidRPr="00F000AE">
        <w:rPr>
          <w:rFonts w:ascii="Times New Roman" w:hAnsi="Times New Roman" w:cs="Times New Roman"/>
          <w:sz w:val="24"/>
          <w:szCs w:val="24"/>
        </w:rPr>
        <w:t xml:space="preserve"> – w przeciwnym razie sąd może odmówić zatwierdzenia, uznając, że dokument nie nadaje się do wykonania.</w:t>
      </w:r>
    </w:p>
    <w:p w14:paraId="41C656DB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3. Zdolność stron do zawarcia ugody</w:t>
      </w:r>
      <w:r w:rsidRPr="00F000AE">
        <w:rPr>
          <w:rFonts w:ascii="Times New Roman" w:hAnsi="Times New Roman" w:cs="Times New Roman"/>
          <w:sz w:val="24"/>
          <w:szCs w:val="24"/>
        </w:rPr>
        <w:br/>
        <w:t xml:space="preserve">Strony muszą posiadać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zdolność do czynności prawnych</w:t>
      </w:r>
      <w:r w:rsidRPr="00F000AE">
        <w:rPr>
          <w:rFonts w:ascii="Times New Roman" w:hAnsi="Times New Roman" w:cs="Times New Roman"/>
          <w:sz w:val="24"/>
          <w:szCs w:val="24"/>
        </w:rPr>
        <w:t xml:space="preserve"> oraz być uprawnione do rozporządzania przedmiotem ugody (np. w sprawach majątkowych).</w:t>
      </w:r>
    </w:p>
    <w:p w14:paraId="70FEE75F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4. Brak naruszenia interesów osób trzecich</w:t>
      </w:r>
      <w:r w:rsidRPr="00F000AE">
        <w:rPr>
          <w:rFonts w:ascii="Times New Roman" w:hAnsi="Times New Roman" w:cs="Times New Roman"/>
          <w:sz w:val="24"/>
          <w:szCs w:val="24"/>
        </w:rPr>
        <w:br/>
        <w:t>Sąd sprawdza, czy treść ugody nie narusza praw osób trzecich (np. dzieci w sprawach rodzinnych).</w:t>
      </w:r>
    </w:p>
    <w:p w14:paraId="7DFF2337" w14:textId="6E62BB63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6F0FD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Procedura zatwierdzenia ugody</w:t>
      </w:r>
    </w:p>
    <w:p w14:paraId="7F87E50F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Zatwierdzenie ugody przez sąd następuje na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wniosek jednej ze stron</w:t>
      </w:r>
      <w:r w:rsidRPr="00F000AE">
        <w:rPr>
          <w:rFonts w:ascii="Times New Roman" w:hAnsi="Times New Roman" w:cs="Times New Roman"/>
          <w:sz w:val="24"/>
          <w:szCs w:val="24"/>
        </w:rPr>
        <w:t>. Wniosek taki składa się do sądu rejonowego właściwego miejscowo według siedziby sądu, który byłby właściwy do rozpoznania sprawy. Do wniosku dołącza się:</w:t>
      </w:r>
    </w:p>
    <w:p w14:paraId="1B6B77C6" w14:textId="77777777" w:rsidR="00F000AE" w:rsidRPr="00F000AE" w:rsidRDefault="00F000AE" w:rsidP="00F000AE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>podpisaną przez strony ugodę,</w:t>
      </w:r>
    </w:p>
    <w:p w14:paraId="04DE9C35" w14:textId="77777777" w:rsidR="00F000AE" w:rsidRPr="00F000AE" w:rsidRDefault="00F000AE" w:rsidP="00F000AE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>odpis protokołu mediacji,</w:t>
      </w:r>
    </w:p>
    <w:p w14:paraId="6B1B5659" w14:textId="77777777" w:rsidR="00F000AE" w:rsidRPr="00F000AE" w:rsidRDefault="00F000AE" w:rsidP="00F000AE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>ewentualnie wniosek o nadanie klauzuli wykonalności (jeśli ugoda dotyczy świadczenia możliwego do egzekucji, np. zapłaty określonej kwoty).</w:t>
      </w:r>
    </w:p>
    <w:p w14:paraId="12CC7DE9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Sąd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nie prowadzi rozprawy</w:t>
      </w:r>
      <w:r w:rsidRPr="00F000AE">
        <w:rPr>
          <w:rFonts w:ascii="Times New Roman" w:hAnsi="Times New Roman" w:cs="Times New Roman"/>
          <w:sz w:val="24"/>
          <w:szCs w:val="24"/>
        </w:rPr>
        <w:t>, a postanowienie wydaje na posiedzeniu niejawnym, chyba że okoliczności sprawy wskazują na konieczność osobistego przesłuchania stron.</w:t>
      </w:r>
    </w:p>
    <w:p w14:paraId="4A070493" w14:textId="27EDF1D2" w:rsid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C26A5" w14:textId="77777777" w:rsidR="004952D1" w:rsidRDefault="004952D1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885F45" w14:textId="77777777" w:rsidR="004952D1" w:rsidRPr="00F000AE" w:rsidRDefault="004952D1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474656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lastRenderedPageBreak/>
        <w:t>Konsekwencje prawne zatwierdzenia ugody</w:t>
      </w:r>
    </w:p>
    <w:p w14:paraId="6B61F6EE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1. Ugoda z mocą wyroku sądowego</w:t>
      </w:r>
      <w:r w:rsidRPr="00F000AE">
        <w:rPr>
          <w:rFonts w:ascii="Times New Roman" w:hAnsi="Times New Roman" w:cs="Times New Roman"/>
          <w:sz w:val="24"/>
          <w:szCs w:val="24"/>
        </w:rPr>
        <w:br/>
        <w:t xml:space="preserve">Po zatwierdzeniu przez sąd, ugoda mediacyjna ma moc prawną ugody zawartej przed sądem. Jest to akt o doniosłości procesowej, który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kończy spór</w:t>
      </w:r>
      <w:r w:rsidRPr="00F000AE">
        <w:rPr>
          <w:rFonts w:ascii="Times New Roman" w:hAnsi="Times New Roman" w:cs="Times New Roman"/>
          <w:sz w:val="24"/>
          <w:szCs w:val="24"/>
        </w:rPr>
        <w:t xml:space="preserve"> i ma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skutki powagi rzeczy osądzonej</w:t>
      </w:r>
      <w:r w:rsidRPr="00F000AE">
        <w:rPr>
          <w:rFonts w:ascii="Times New Roman" w:hAnsi="Times New Roman" w:cs="Times New Roman"/>
          <w:sz w:val="24"/>
          <w:szCs w:val="24"/>
        </w:rPr>
        <w:t xml:space="preserve"> (res iudicata).</w:t>
      </w:r>
    </w:p>
    <w:p w14:paraId="284AF050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2. Możliwość egzekucji komorniczej</w:t>
      </w:r>
      <w:r w:rsidRPr="00F000AE">
        <w:rPr>
          <w:rFonts w:ascii="Times New Roman" w:hAnsi="Times New Roman" w:cs="Times New Roman"/>
          <w:sz w:val="24"/>
          <w:szCs w:val="24"/>
        </w:rPr>
        <w:br/>
        <w:t xml:space="preserve">Jeśli ugoda dotyczy świadczenia wymagalnego (np. zapłaty), sąd może nadać jej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klauzulę wykonalności</w:t>
      </w:r>
      <w:r w:rsidRPr="00F000AE">
        <w:rPr>
          <w:rFonts w:ascii="Times New Roman" w:hAnsi="Times New Roman" w:cs="Times New Roman"/>
          <w:sz w:val="24"/>
          <w:szCs w:val="24"/>
        </w:rPr>
        <w:t xml:space="preserve">, co oznacza, że dokument staje się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tytułem wykonawczym</w:t>
      </w:r>
      <w:r w:rsidRPr="00F000AE">
        <w:rPr>
          <w:rFonts w:ascii="Times New Roman" w:hAnsi="Times New Roman" w:cs="Times New Roman"/>
          <w:sz w:val="24"/>
          <w:szCs w:val="24"/>
        </w:rPr>
        <w:t>, umożliwiającym skierowanie sprawy do komornika w przypadku niewykonania zobowiązania.</w:t>
      </w:r>
    </w:p>
    <w:p w14:paraId="5DF1FD9C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3. Brak możliwości ponownego rozpoznania sprawy</w:t>
      </w:r>
      <w:r w:rsidRPr="00F000AE">
        <w:rPr>
          <w:rFonts w:ascii="Times New Roman" w:hAnsi="Times New Roman" w:cs="Times New Roman"/>
          <w:sz w:val="24"/>
          <w:szCs w:val="24"/>
        </w:rPr>
        <w:br/>
        <w:t xml:space="preserve">Po zatwierdzeniu ugody przez sąd, strony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nie mogą w tej samej sprawie</w:t>
      </w:r>
      <w:r w:rsidRPr="00F000AE">
        <w:rPr>
          <w:rFonts w:ascii="Times New Roman" w:hAnsi="Times New Roman" w:cs="Times New Roman"/>
          <w:sz w:val="24"/>
          <w:szCs w:val="24"/>
        </w:rPr>
        <w:t xml:space="preserve"> ponownie wnieść powództwa, o ile ugoda obejmuje te same roszczenia – obowiązuje zasada </w:t>
      </w:r>
      <w:r w:rsidRPr="00F000AE">
        <w:rPr>
          <w:rFonts w:ascii="Times New Roman" w:hAnsi="Times New Roman" w:cs="Times New Roman"/>
          <w:b/>
          <w:bCs/>
          <w:sz w:val="24"/>
          <w:szCs w:val="24"/>
        </w:rPr>
        <w:t>ne bis in idem</w:t>
      </w:r>
      <w:r w:rsidRPr="00F000AE">
        <w:rPr>
          <w:rFonts w:ascii="Times New Roman" w:hAnsi="Times New Roman" w:cs="Times New Roman"/>
          <w:sz w:val="24"/>
          <w:szCs w:val="24"/>
        </w:rPr>
        <w:t>.</w:t>
      </w:r>
    </w:p>
    <w:p w14:paraId="279B2DA1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4. Wpływ na postępowanie sądowe</w:t>
      </w:r>
      <w:r w:rsidRPr="00F000AE">
        <w:rPr>
          <w:rFonts w:ascii="Times New Roman" w:hAnsi="Times New Roman" w:cs="Times New Roman"/>
          <w:sz w:val="24"/>
          <w:szCs w:val="24"/>
        </w:rPr>
        <w:br/>
        <w:t>Jeśli ugoda zostanie zawarta w toku trwającego procesu, sąd umarza postępowanie w całości lub w zakresie objętym ugodą. To pozwala zakończyć sprawę szybciej i odciążyć sądy.</w:t>
      </w:r>
    </w:p>
    <w:p w14:paraId="073238CE" w14:textId="0D704AB0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B9FCF8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Problemy praktyczne</w:t>
      </w:r>
    </w:p>
    <w:p w14:paraId="762A9087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>Mimo jasnych przepisów, w praktyce pojawiają się pewne trudności:</w:t>
      </w:r>
    </w:p>
    <w:p w14:paraId="59F79476" w14:textId="77777777" w:rsidR="00F000AE" w:rsidRPr="00F000AE" w:rsidRDefault="00F000AE" w:rsidP="00F000AE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Niska świadomość stron</w:t>
      </w:r>
      <w:r w:rsidRPr="00F000AE">
        <w:rPr>
          <w:rFonts w:ascii="Times New Roman" w:hAnsi="Times New Roman" w:cs="Times New Roman"/>
          <w:sz w:val="24"/>
          <w:szCs w:val="24"/>
        </w:rPr>
        <w:t xml:space="preserve"> – wiele osób nie wie, że ugoda mediacyjna wymaga zatwierdzenia, by była wykonalna.</w:t>
      </w:r>
    </w:p>
    <w:p w14:paraId="0A0751CE" w14:textId="77777777" w:rsidR="00F000AE" w:rsidRPr="00F000AE" w:rsidRDefault="00F000AE" w:rsidP="00F000AE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Braki formalne w ugodach</w:t>
      </w:r>
      <w:r w:rsidRPr="00F000AE">
        <w:rPr>
          <w:rFonts w:ascii="Times New Roman" w:hAnsi="Times New Roman" w:cs="Times New Roman"/>
          <w:sz w:val="24"/>
          <w:szCs w:val="24"/>
        </w:rPr>
        <w:t xml:space="preserve"> – błędy redakcyjne, brak precyzji lub niepełne oznaczenie stron mogą być podstawą do odmowy zatwierdzenia.</w:t>
      </w:r>
    </w:p>
    <w:p w14:paraId="55DA04A1" w14:textId="77777777" w:rsidR="00F000AE" w:rsidRPr="00F000AE" w:rsidRDefault="00F000AE" w:rsidP="00F000AE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Odmowa zatwierdzenia</w:t>
      </w:r>
      <w:r w:rsidRPr="00F000AE">
        <w:rPr>
          <w:rFonts w:ascii="Times New Roman" w:hAnsi="Times New Roman" w:cs="Times New Roman"/>
          <w:sz w:val="24"/>
          <w:szCs w:val="24"/>
        </w:rPr>
        <w:t xml:space="preserve"> – sądy są zobowiązane odmówić zatwierdzenia ugody, jeśli jej treść budzi wątpliwości, co niekiedy wywołuje zaskoczenie i frustrację stron.</w:t>
      </w:r>
    </w:p>
    <w:p w14:paraId="51B370EC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0AE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6BFFF68F" w14:textId="77777777" w:rsidR="00F000AE" w:rsidRPr="00F000AE" w:rsidRDefault="00F000AE" w:rsidP="00F00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0AE">
        <w:rPr>
          <w:rFonts w:ascii="Times New Roman" w:hAnsi="Times New Roman" w:cs="Times New Roman"/>
          <w:sz w:val="24"/>
          <w:szCs w:val="24"/>
        </w:rPr>
        <w:t xml:space="preserve">Zatwierdzenie ugody mediacyjnej przez sąd to kluczowy etap, który nadaje zawartemu porozumieniu walor wykonalności i bezpieczeństwa prawnego. Wymaga ono spełnienia </w:t>
      </w:r>
      <w:r w:rsidRPr="00F000AE">
        <w:rPr>
          <w:rFonts w:ascii="Times New Roman" w:hAnsi="Times New Roman" w:cs="Times New Roman"/>
          <w:sz w:val="24"/>
          <w:szCs w:val="24"/>
        </w:rPr>
        <w:lastRenderedPageBreak/>
        <w:t>określonych przesłanek formalnych i materialnych, a jego skutki mają znaczenie zarówno dla stron, jak i dla systemu wymiaru sprawiedliwości. Choć instytucja ta ma wiele zalet – szybkość, oszczędność, dobrowolność – wymaga także rozwagi i odpowiedniego przygotowania treści ugody. Wzmocnienie świadomości prawnej uczestników mediacji i edukacja w tym zakresie pozostają ważnym zadaniem dla prawników, mediatorów i samych sądów.</w:t>
      </w:r>
    </w:p>
    <w:p w14:paraId="1FC3FB4E" w14:textId="77777777" w:rsidR="00AE0B8C" w:rsidRPr="00AE0B8C" w:rsidRDefault="00AE0B8C" w:rsidP="00AE0B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E0B8C" w:rsidRPr="00AE0B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AA63" w14:textId="77777777" w:rsidR="00AC7A79" w:rsidRDefault="00AC7A79" w:rsidP="00965A5F">
      <w:pPr>
        <w:spacing w:after="0" w:line="240" w:lineRule="auto"/>
      </w:pPr>
      <w:r>
        <w:separator/>
      </w:r>
    </w:p>
  </w:endnote>
  <w:endnote w:type="continuationSeparator" w:id="0">
    <w:p w14:paraId="0C4A54AE" w14:textId="77777777" w:rsidR="00AC7A79" w:rsidRDefault="00AC7A79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76B8" w14:textId="77777777" w:rsidR="00AC7A79" w:rsidRDefault="00AC7A79" w:rsidP="00965A5F">
      <w:pPr>
        <w:spacing w:after="0" w:line="240" w:lineRule="auto"/>
      </w:pPr>
      <w:r>
        <w:separator/>
      </w:r>
    </w:p>
  </w:footnote>
  <w:footnote w:type="continuationSeparator" w:id="0">
    <w:p w14:paraId="3A28EC36" w14:textId="77777777" w:rsidR="00AC7A79" w:rsidRDefault="00AC7A79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000A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3294"/>
    <w:multiLevelType w:val="multilevel"/>
    <w:tmpl w:val="12E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F0F62"/>
    <w:multiLevelType w:val="multilevel"/>
    <w:tmpl w:val="A068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F7439"/>
    <w:multiLevelType w:val="multilevel"/>
    <w:tmpl w:val="082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E1D17"/>
    <w:multiLevelType w:val="multilevel"/>
    <w:tmpl w:val="804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852DA"/>
    <w:multiLevelType w:val="multilevel"/>
    <w:tmpl w:val="681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3F788C"/>
    <w:multiLevelType w:val="multilevel"/>
    <w:tmpl w:val="C04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0"/>
  </w:num>
  <w:num w:numId="2" w16cid:durableId="1213811931">
    <w:abstractNumId w:val="13"/>
  </w:num>
  <w:num w:numId="3" w16cid:durableId="455222665">
    <w:abstractNumId w:val="11"/>
  </w:num>
  <w:num w:numId="4" w16cid:durableId="2017147699">
    <w:abstractNumId w:val="19"/>
  </w:num>
  <w:num w:numId="5" w16cid:durableId="810951206">
    <w:abstractNumId w:val="14"/>
  </w:num>
  <w:num w:numId="6" w16cid:durableId="860361570">
    <w:abstractNumId w:val="21"/>
  </w:num>
  <w:num w:numId="7" w16cid:durableId="221138008">
    <w:abstractNumId w:val="15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2"/>
  </w:num>
  <w:num w:numId="11" w16cid:durableId="736435546">
    <w:abstractNumId w:val="12"/>
  </w:num>
  <w:num w:numId="12" w16cid:durableId="1406804154">
    <w:abstractNumId w:val="0"/>
  </w:num>
  <w:num w:numId="13" w16cid:durableId="1233615674">
    <w:abstractNumId w:val="26"/>
  </w:num>
  <w:num w:numId="14" w16cid:durableId="2031836469">
    <w:abstractNumId w:val="9"/>
  </w:num>
  <w:num w:numId="15" w16cid:durableId="454981011">
    <w:abstractNumId w:val="4"/>
  </w:num>
  <w:num w:numId="16" w16cid:durableId="534469745">
    <w:abstractNumId w:val="17"/>
  </w:num>
  <w:num w:numId="17" w16cid:durableId="1271355562">
    <w:abstractNumId w:val="6"/>
  </w:num>
  <w:num w:numId="18" w16cid:durableId="160001468">
    <w:abstractNumId w:val="16"/>
  </w:num>
  <w:num w:numId="19" w16cid:durableId="1918203768">
    <w:abstractNumId w:val="2"/>
  </w:num>
  <w:num w:numId="20" w16cid:durableId="748574694">
    <w:abstractNumId w:val="25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7"/>
  </w:num>
  <w:num w:numId="24" w16cid:durableId="1160270667">
    <w:abstractNumId w:val="5"/>
  </w:num>
  <w:num w:numId="25" w16cid:durableId="1476868639">
    <w:abstractNumId w:val="29"/>
  </w:num>
  <w:num w:numId="26" w16cid:durableId="1440759467">
    <w:abstractNumId w:val="28"/>
  </w:num>
  <w:num w:numId="27" w16cid:durableId="1397777660">
    <w:abstractNumId w:val="23"/>
  </w:num>
  <w:num w:numId="28" w16cid:durableId="1982273685">
    <w:abstractNumId w:val="18"/>
  </w:num>
  <w:num w:numId="29" w16cid:durableId="1648968957">
    <w:abstractNumId w:val="8"/>
  </w:num>
  <w:num w:numId="30" w16cid:durableId="15664528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71F74"/>
    <w:rsid w:val="000967A8"/>
    <w:rsid w:val="001134BC"/>
    <w:rsid w:val="00194366"/>
    <w:rsid w:val="001B5056"/>
    <w:rsid w:val="001C7C0F"/>
    <w:rsid w:val="001F23CD"/>
    <w:rsid w:val="00210B1A"/>
    <w:rsid w:val="0021746E"/>
    <w:rsid w:val="002A1951"/>
    <w:rsid w:val="002B62AA"/>
    <w:rsid w:val="00317246"/>
    <w:rsid w:val="00401C97"/>
    <w:rsid w:val="00411B3C"/>
    <w:rsid w:val="00412B11"/>
    <w:rsid w:val="004952D1"/>
    <w:rsid w:val="004C318A"/>
    <w:rsid w:val="005416B6"/>
    <w:rsid w:val="00541B6A"/>
    <w:rsid w:val="005632AD"/>
    <w:rsid w:val="005E3240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9D1002"/>
    <w:rsid w:val="00A05D04"/>
    <w:rsid w:val="00A20133"/>
    <w:rsid w:val="00A20C1D"/>
    <w:rsid w:val="00AA27BD"/>
    <w:rsid w:val="00AC161C"/>
    <w:rsid w:val="00AC3F82"/>
    <w:rsid w:val="00AC7A79"/>
    <w:rsid w:val="00AE0B8C"/>
    <w:rsid w:val="00B457D8"/>
    <w:rsid w:val="00B45FA0"/>
    <w:rsid w:val="00B90A25"/>
    <w:rsid w:val="00BE7418"/>
    <w:rsid w:val="00C02D43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36B02"/>
    <w:rsid w:val="00E76143"/>
    <w:rsid w:val="00E96FD6"/>
    <w:rsid w:val="00EC32DF"/>
    <w:rsid w:val="00F000AE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34</cp:revision>
  <cp:lastPrinted>2025-02-04T09:35:00Z</cp:lastPrinted>
  <dcterms:created xsi:type="dcterms:W3CDTF">2025-02-03T09:41:00Z</dcterms:created>
  <dcterms:modified xsi:type="dcterms:W3CDTF">2025-08-04T18:02:00Z</dcterms:modified>
</cp:coreProperties>
</file>