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E753" w14:textId="0F5AA656" w:rsidR="00C70264" w:rsidRPr="004D06C5" w:rsidRDefault="00C70264" w:rsidP="00B572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6C5">
        <w:rPr>
          <w:rFonts w:ascii="Times New Roman" w:hAnsi="Times New Roman" w:cs="Times New Roman"/>
          <w:sz w:val="24"/>
          <w:szCs w:val="24"/>
        </w:rPr>
        <w:t xml:space="preserve">Gołąb, </w:t>
      </w:r>
      <w:r w:rsidR="00A922C3">
        <w:rPr>
          <w:rFonts w:ascii="Times New Roman" w:hAnsi="Times New Roman" w:cs="Times New Roman"/>
          <w:sz w:val="24"/>
          <w:szCs w:val="24"/>
        </w:rPr>
        <w:t>15</w:t>
      </w:r>
      <w:r w:rsidRPr="004D06C5">
        <w:rPr>
          <w:rFonts w:ascii="Times New Roman" w:hAnsi="Times New Roman" w:cs="Times New Roman"/>
          <w:sz w:val="24"/>
          <w:szCs w:val="24"/>
        </w:rPr>
        <w:t>.0</w:t>
      </w:r>
      <w:r w:rsidR="00A922C3">
        <w:rPr>
          <w:rFonts w:ascii="Times New Roman" w:hAnsi="Times New Roman" w:cs="Times New Roman"/>
          <w:sz w:val="24"/>
          <w:szCs w:val="24"/>
        </w:rPr>
        <w:t>7</w:t>
      </w:r>
      <w:r w:rsidRPr="004D06C5">
        <w:rPr>
          <w:rFonts w:ascii="Times New Roman" w:hAnsi="Times New Roman" w:cs="Times New Roman"/>
          <w:sz w:val="24"/>
          <w:szCs w:val="24"/>
        </w:rPr>
        <w:t>.2025 r.</w:t>
      </w:r>
    </w:p>
    <w:p w14:paraId="5D6CAE7D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Obowiązek informacyjny sądu o możliwości mediacji – teoria a praktyka</w:t>
      </w:r>
    </w:p>
    <w:p w14:paraId="2D6EEAB8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132F719C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W polskim systemie prawnym mediacja odgrywa coraz większą rolę jako alternatywna forma rozwiązywania sporów. Zgodnie z obowiązującymi przepisami, sąd ma obowiązek informowania stron o możliwości skorzystania z mediacji już na wstępnym etapie postępowania. Choć cel tej regulacji jest jasny – odciążenie sądów i promowanie dialogu – praktyka często rozmija się z literą prawa.</w:t>
      </w:r>
    </w:p>
    <w:p w14:paraId="1E261C34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W niniejszym artykule przyjrzymy się regulacjom dotyczącym obowiązku informacyjnego sądu w zakresie mediacji, a także dokonamy oceny funkcjonowania tego obowiązku w rzeczywistości – zarówno z perspektywy sędziów, jak i stron postępowań.</w:t>
      </w:r>
    </w:p>
    <w:p w14:paraId="3714C903" w14:textId="16B7A276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054ED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Podstawy prawne obowiązku informacyjnego sądu</w:t>
      </w:r>
    </w:p>
    <w:p w14:paraId="7776E3F5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Obowiązek informowania stron o możliwości mediacji wynika z kilku przepisów Kodeksu postępowania cywilnego. Najważniejsze z nich to:</w:t>
      </w:r>
    </w:p>
    <w:p w14:paraId="2714225F" w14:textId="77777777" w:rsidR="005E6AFC" w:rsidRPr="005E6AFC" w:rsidRDefault="005E6AFC" w:rsidP="005E6AFC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Art. 10 § 1 k.p.c.</w:t>
      </w:r>
      <w:r w:rsidRPr="005E6AFC">
        <w:rPr>
          <w:rFonts w:ascii="Times New Roman" w:hAnsi="Times New Roman" w:cs="Times New Roman"/>
          <w:sz w:val="24"/>
          <w:szCs w:val="24"/>
        </w:rPr>
        <w:t xml:space="preserve"> – „W sprawach, w których dopuszczalne jest zawarcie ugody, sąd dąży do ich ugodowego załatwienia, w szczególności przez nakłanianie stron do mediacji”.</w:t>
      </w:r>
    </w:p>
    <w:p w14:paraId="4A774D6F" w14:textId="77777777" w:rsidR="005E6AFC" w:rsidRPr="005E6AFC" w:rsidRDefault="005E6AFC" w:rsidP="005E6AFC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Art. 183^8 § 1 k.p.c.</w:t>
      </w:r>
      <w:r w:rsidRPr="005E6AFC">
        <w:rPr>
          <w:rFonts w:ascii="Times New Roman" w:hAnsi="Times New Roman" w:cs="Times New Roman"/>
          <w:sz w:val="24"/>
          <w:szCs w:val="24"/>
        </w:rPr>
        <w:t xml:space="preserve"> – „Sąd może skierować strony do mediacji na każdym etapie postępowania”.</w:t>
      </w:r>
    </w:p>
    <w:p w14:paraId="5487747D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Ponadto obowiązek informacyjny sądu pojawia się w przepisach regulujących poszczególne rodzaje spraw, np. w sprawach rodzinnych czy pracowniczych, gdzie ugodowe zakończenie sporu jest szczególnie pożądane.</w:t>
      </w:r>
    </w:p>
    <w:p w14:paraId="1183343A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Cel i znaczenie obowiązku informacyjnego</w:t>
      </w:r>
    </w:p>
    <w:p w14:paraId="717745FF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Zamysłem ustawodawcy było, aby sąd nie tylko „wspominał” o mediacji, ale rzeczywiście zachęcał do jej podjęcia i w razie potrzeby wyjaśniał mechanizmy jej działania. Informacja powinna zawierać:</w:t>
      </w:r>
    </w:p>
    <w:p w14:paraId="07C538EF" w14:textId="77777777" w:rsidR="005E6AFC" w:rsidRPr="005E6AFC" w:rsidRDefault="005E6AFC" w:rsidP="005E6AFC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lastRenderedPageBreak/>
        <w:t>wyjaśnienie, czym jest mediacja,</w:t>
      </w:r>
    </w:p>
    <w:p w14:paraId="3425CE84" w14:textId="77777777" w:rsidR="005E6AFC" w:rsidRPr="005E6AFC" w:rsidRDefault="005E6AFC" w:rsidP="005E6AFC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wskazanie możliwych korzyści (szybkość, niższe koszty, poufność),</w:t>
      </w:r>
    </w:p>
    <w:p w14:paraId="29705F71" w14:textId="77777777" w:rsidR="005E6AFC" w:rsidRPr="005E6AFC" w:rsidRDefault="005E6AFC" w:rsidP="005E6AFC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informację o dostępnych mediatorach i procedurze skierowania do mediacji.</w:t>
      </w:r>
    </w:p>
    <w:p w14:paraId="570A4273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W idealnym scenariuszu taka informacja ma zwiększyć świadomość stron i ułatwić im podjęcie decyzji o skorzystaniu z tej formy rozwiązywania sporu.</w:t>
      </w:r>
    </w:p>
    <w:p w14:paraId="3FA40BCC" w14:textId="6A6A3590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558AB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Praktyka sądowa – jak wygląda rzeczywistość?</w:t>
      </w:r>
    </w:p>
    <w:p w14:paraId="32075D82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 xml:space="preserve">W praktyce realizacja obowiązku informacyjnego sądu często pozostawia wiele do życzenia. Przegląd orzecznictwa i obserwacje z </w:t>
      </w:r>
      <w:proofErr w:type="spellStart"/>
      <w:r w:rsidRPr="005E6AFC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5E6AFC">
        <w:rPr>
          <w:rFonts w:ascii="Times New Roman" w:hAnsi="Times New Roman" w:cs="Times New Roman"/>
          <w:sz w:val="24"/>
          <w:szCs w:val="24"/>
        </w:rPr>
        <w:t xml:space="preserve"> sądowych wskazują na kilka problemów:</w:t>
      </w:r>
    </w:p>
    <w:p w14:paraId="5F9AFF58" w14:textId="77777777" w:rsidR="005E6AFC" w:rsidRPr="005E6AFC" w:rsidRDefault="005E6AFC" w:rsidP="005E6A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1. Ograniczenie się do formalnej wzmianki</w:t>
      </w:r>
      <w:r w:rsidRPr="005E6AFC">
        <w:rPr>
          <w:rFonts w:ascii="Times New Roman" w:hAnsi="Times New Roman" w:cs="Times New Roman"/>
          <w:sz w:val="24"/>
          <w:szCs w:val="24"/>
        </w:rPr>
        <w:br/>
        <w:t>Wielu sędziów ogranicza się do lakonicznego zdania w protokole lub formularzu: „Sąd informuje o możliwości mediacji” – bez wyjaśnienia, czym jest mediacja, kiedy może być stosowana i jakie są jej zalety.</w:t>
      </w:r>
    </w:p>
    <w:p w14:paraId="5842B8DF" w14:textId="77777777" w:rsidR="005E6AFC" w:rsidRPr="005E6AFC" w:rsidRDefault="005E6AFC" w:rsidP="005E6A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2. Brak indywidualnego podejścia do sprawy</w:t>
      </w:r>
      <w:r w:rsidRPr="005E6AFC">
        <w:rPr>
          <w:rFonts w:ascii="Times New Roman" w:hAnsi="Times New Roman" w:cs="Times New Roman"/>
          <w:sz w:val="24"/>
          <w:szCs w:val="24"/>
        </w:rPr>
        <w:br/>
        <w:t>Często nie analizuje się, czy dana sprawa rzeczywiście nadaje się do mediacji, ani nie prowadzi rozmowy ze stronami na ten temat. Zamiast tego sąd „odhacza” spełnienie obowiązku formalnego.</w:t>
      </w:r>
    </w:p>
    <w:p w14:paraId="12BB1E0D" w14:textId="77777777" w:rsidR="005E6AFC" w:rsidRPr="005E6AFC" w:rsidRDefault="005E6AFC" w:rsidP="005E6A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3. Niska świadomość stron i pełnomocników</w:t>
      </w:r>
      <w:r w:rsidRPr="005E6AFC">
        <w:rPr>
          <w:rFonts w:ascii="Times New Roman" w:hAnsi="Times New Roman" w:cs="Times New Roman"/>
          <w:sz w:val="24"/>
          <w:szCs w:val="24"/>
        </w:rPr>
        <w:br/>
        <w:t>Strony (zwłaszcza nieprofesjonalne) rzadko wiedzą, czym jest mediacja, jak się do niej przygotować, i jakie są jej konsekwencje. Brak aktywnego zaangażowania sądu w wyjaśnienie tych kwestii utrwala ten stan rzeczy.</w:t>
      </w:r>
    </w:p>
    <w:p w14:paraId="2F7CA6CD" w14:textId="77777777" w:rsidR="005E6AFC" w:rsidRPr="005E6AFC" w:rsidRDefault="005E6AFC" w:rsidP="005E6A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4. Opór niektórych sędziów</w:t>
      </w:r>
      <w:r w:rsidRPr="005E6AFC">
        <w:rPr>
          <w:rFonts w:ascii="Times New Roman" w:hAnsi="Times New Roman" w:cs="Times New Roman"/>
          <w:sz w:val="24"/>
          <w:szCs w:val="24"/>
        </w:rPr>
        <w:br/>
        <w:t>Część sędziów nadal postrzega mediację jako dodatkowy obowiązek, który wydłuża sprawę, zamiast ją usprawniać. Nie brakuje też sceptycyzmu wobec skuteczności mediacji w sprawach o wysokim poziomie emocji (np. rodzinnych).</w:t>
      </w:r>
    </w:p>
    <w:p w14:paraId="5C17C44A" w14:textId="2368113E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21F1B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Pozytywne przykłady i dobre praktyki</w:t>
      </w:r>
    </w:p>
    <w:p w14:paraId="16000895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lastRenderedPageBreak/>
        <w:t>Pomimo powyższych trudności, sądy w niektórych regionach wdrażają dobre praktyki związane z informowaniem o mediacji:</w:t>
      </w:r>
    </w:p>
    <w:p w14:paraId="1A55F155" w14:textId="77777777" w:rsidR="005E6AFC" w:rsidRPr="005E6AFC" w:rsidRDefault="005E6AFC" w:rsidP="005E6AF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Rozdawanie ulotek lub broszur o mediacji</w:t>
      </w:r>
      <w:r w:rsidRPr="005E6AFC">
        <w:rPr>
          <w:rFonts w:ascii="Times New Roman" w:hAnsi="Times New Roman" w:cs="Times New Roman"/>
          <w:sz w:val="24"/>
          <w:szCs w:val="24"/>
        </w:rPr>
        <w:t xml:space="preserve"> na pierwszej rozprawie,</w:t>
      </w:r>
    </w:p>
    <w:p w14:paraId="6E17FC01" w14:textId="77777777" w:rsidR="005E6AFC" w:rsidRPr="005E6AFC" w:rsidRDefault="005E6AFC" w:rsidP="005E6AF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Stała współpraca z lokalnymi mediatorami</w:t>
      </w:r>
      <w:r w:rsidRPr="005E6AFC">
        <w:rPr>
          <w:rFonts w:ascii="Times New Roman" w:hAnsi="Times New Roman" w:cs="Times New Roman"/>
          <w:sz w:val="24"/>
          <w:szCs w:val="24"/>
        </w:rPr>
        <w:t xml:space="preserve"> i tworzenie list rekomendowanych specjalistów,</w:t>
      </w:r>
    </w:p>
    <w:p w14:paraId="292BA00F" w14:textId="77777777" w:rsidR="005E6AFC" w:rsidRPr="005E6AFC" w:rsidRDefault="005E6AFC" w:rsidP="005E6AF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Szkolenia sędziów i pracowników sądów</w:t>
      </w:r>
      <w:r w:rsidRPr="005E6AFC">
        <w:rPr>
          <w:rFonts w:ascii="Times New Roman" w:hAnsi="Times New Roman" w:cs="Times New Roman"/>
          <w:sz w:val="24"/>
          <w:szCs w:val="24"/>
        </w:rPr>
        <w:t xml:space="preserve"> z zakresu mediacji i komunikacji z uczestnikami postępowania,</w:t>
      </w:r>
    </w:p>
    <w:p w14:paraId="09A8364B" w14:textId="77777777" w:rsidR="005E6AFC" w:rsidRPr="005E6AFC" w:rsidRDefault="005E6AFC" w:rsidP="005E6AF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Wyznaczanie specjalnych „dni mediacji”</w:t>
      </w:r>
      <w:r w:rsidRPr="005E6AFC">
        <w:rPr>
          <w:rFonts w:ascii="Times New Roman" w:hAnsi="Times New Roman" w:cs="Times New Roman"/>
          <w:sz w:val="24"/>
          <w:szCs w:val="24"/>
        </w:rPr>
        <w:t xml:space="preserve"> i kierowanie do mediacji już na etapie przedsądowym.</w:t>
      </w:r>
    </w:p>
    <w:p w14:paraId="1537A2BB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Takie działania pokazują, że obowiązek informacyjny może być nie tylko wypełniany, ale także skuteczny – pod warunkiem odpowiedniego zaangażowania sądu.</w:t>
      </w:r>
    </w:p>
    <w:p w14:paraId="126A9E5A" w14:textId="57BA5BFE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9A1F0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FC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66D6335A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Obowiązek informacyjny sądu o możliwości mediacji jest ważnym elementem systemu wspierania alternatywnych metod rozwiązywania sporów. W teorii stanowi on narzędzie promujące dialog, oszczędność czasu i kosztów, a także zmniejszenie obciążenia sądów. W praktyce jednak realizacja tego obowiązku jest często powierzchowna i formalna.</w:t>
      </w:r>
    </w:p>
    <w:p w14:paraId="427CE241" w14:textId="77777777" w:rsidR="005E6AFC" w:rsidRPr="005E6AFC" w:rsidRDefault="005E6AFC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FC">
        <w:rPr>
          <w:rFonts w:ascii="Times New Roman" w:hAnsi="Times New Roman" w:cs="Times New Roman"/>
          <w:sz w:val="24"/>
          <w:szCs w:val="24"/>
        </w:rPr>
        <w:t>Aby zmienić ten stan rzeczy, konieczne są działania systemowe: edukacja sędziów, zwiększenie świadomości społecznej, lepsza współpraca sądów z mediatorami oraz wdrażanie dobrych praktyk w sądach rejonowych i okręgowych. Tylko wtedy obowiązek informacyjny stanie się realnym wsparciem dla stron w wyborze mediacji jako efektywnej i dojrzałej formy rozwiązywania konfliktów.</w:t>
      </w:r>
    </w:p>
    <w:p w14:paraId="6FE4C78F" w14:textId="5661CA24" w:rsidR="005F6A80" w:rsidRPr="004D06C5" w:rsidRDefault="005F6A80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4D06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DAF1" w14:textId="77777777" w:rsidR="00F86E8E" w:rsidRDefault="00F86E8E" w:rsidP="00965A5F">
      <w:pPr>
        <w:spacing w:after="0" w:line="240" w:lineRule="auto"/>
      </w:pPr>
      <w:r>
        <w:separator/>
      </w:r>
    </w:p>
  </w:endnote>
  <w:endnote w:type="continuationSeparator" w:id="0">
    <w:p w14:paraId="1F7AAA9D" w14:textId="77777777" w:rsidR="00F86E8E" w:rsidRDefault="00F86E8E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ECEB" w14:textId="77777777" w:rsidR="00F86E8E" w:rsidRDefault="00F86E8E" w:rsidP="00965A5F">
      <w:pPr>
        <w:spacing w:after="0" w:line="240" w:lineRule="auto"/>
      </w:pPr>
      <w:r>
        <w:separator/>
      </w:r>
    </w:p>
  </w:footnote>
  <w:footnote w:type="continuationSeparator" w:id="0">
    <w:p w14:paraId="44D00E90" w14:textId="77777777" w:rsidR="00F86E8E" w:rsidRDefault="00F86E8E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E55B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D06CF"/>
    <w:multiLevelType w:val="multilevel"/>
    <w:tmpl w:val="DEF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956B6"/>
    <w:multiLevelType w:val="multilevel"/>
    <w:tmpl w:val="8CA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15901"/>
    <w:multiLevelType w:val="multilevel"/>
    <w:tmpl w:val="945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7262F"/>
    <w:multiLevelType w:val="multilevel"/>
    <w:tmpl w:val="0B9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B3AAD"/>
    <w:multiLevelType w:val="multilevel"/>
    <w:tmpl w:val="86C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4"/>
  </w:num>
  <w:num w:numId="3" w16cid:durableId="455222665">
    <w:abstractNumId w:val="12"/>
  </w:num>
  <w:num w:numId="4" w16cid:durableId="2017147699">
    <w:abstractNumId w:val="19"/>
  </w:num>
  <w:num w:numId="5" w16cid:durableId="810951206">
    <w:abstractNumId w:val="15"/>
  </w:num>
  <w:num w:numId="6" w16cid:durableId="860361570">
    <w:abstractNumId w:val="20"/>
  </w:num>
  <w:num w:numId="7" w16cid:durableId="221138008">
    <w:abstractNumId w:val="16"/>
  </w:num>
  <w:num w:numId="8" w16cid:durableId="1442410410">
    <w:abstractNumId w:val="8"/>
  </w:num>
  <w:num w:numId="9" w16cid:durableId="217860266">
    <w:abstractNumId w:val="3"/>
  </w:num>
  <w:num w:numId="10" w16cid:durableId="1764454325">
    <w:abstractNumId w:val="23"/>
  </w:num>
  <w:num w:numId="11" w16cid:durableId="736435546">
    <w:abstractNumId w:val="13"/>
  </w:num>
  <w:num w:numId="12" w16cid:durableId="1406804154">
    <w:abstractNumId w:val="0"/>
  </w:num>
  <w:num w:numId="13" w16cid:durableId="1233615674">
    <w:abstractNumId w:val="27"/>
  </w:num>
  <w:num w:numId="14" w16cid:durableId="2031836469">
    <w:abstractNumId w:val="10"/>
  </w:num>
  <w:num w:numId="15" w16cid:durableId="454981011">
    <w:abstractNumId w:val="4"/>
  </w:num>
  <w:num w:numId="16" w16cid:durableId="534469745">
    <w:abstractNumId w:val="18"/>
  </w:num>
  <w:num w:numId="17" w16cid:durableId="1271355562">
    <w:abstractNumId w:val="7"/>
  </w:num>
  <w:num w:numId="18" w16cid:durableId="160001468">
    <w:abstractNumId w:val="17"/>
  </w:num>
  <w:num w:numId="19" w16cid:durableId="1918203768">
    <w:abstractNumId w:val="2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8"/>
  </w:num>
  <w:num w:numId="24" w16cid:durableId="1160270667">
    <w:abstractNumId w:val="5"/>
  </w:num>
  <w:num w:numId="25" w16cid:durableId="514656963">
    <w:abstractNumId w:val="21"/>
  </w:num>
  <w:num w:numId="26" w16cid:durableId="913122296">
    <w:abstractNumId w:val="6"/>
  </w:num>
  <w:num w:numId="27" w16cid:durableId="656226090">
    <w:abstractNumId w:val="9"/>
  </w:num>
  <w:num w:numId="28" w16cid:durableId="808010948">
    <w:abstractNumId w:val="26"/>
  </w:num>
  <w:num w:numId="29" w16cid:durableId="14531615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154D"/>
    <w:rsid w:val="001F23CD"/>
    <w:rsid w:val="00210B1A"/>
    <w:rsid w:val="0021746E"/>
    <w:rsid w:val="002A1951"/>
    <w:rsid w:val="002B62AA"/>
    <w:rsid w:val="00317246"/>
    <w:rsid w:val="00401C97"/>
    <w:rsid w:val="00411B3C"/>
    <w:rsid w:val="00412B11"/>
    <w:rsid w:val="004C318A"/>
    <w:rsid w:val="004D06C5"/>
    <w:rsid w:val="005416B6"/>
    <w:rsid w:val="00541B6A"/>
    <w:rsid w:val="005632AD"/>
    <w:rsid w:val="005E3240"/>
    <w:rsid w:val="005E3B93"/>
    <w:rsid w:val="005E6AFC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9E55BC"/>
    <w:rsid w:val="00A05D04"/>
    <w:rsid w:val="00A20133"/>
    <w:rsid w:val="00A20C1D"/>
    <w:rsid w:val="00A922C3"/>
    <w:rsid w:val="00AC3F82"/>
    <w:rsid w:val="00B457D8"/>
    <w:rsid w:val="00B45FA0"/>
    <w:rsid w:val="00B572DA"/>
    <w:rsid w:val="00B90A25"/>
    <w:rsid w:val="00BD43D1"/>
    <w:rsid w:val="00BD6E72"/>
    <w:rsid w:val="00C1573D"/>
    <w:rsid w:val="00C55AB1"/>
    <w:rsid w:val="00C70264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34</cp:revision>
  <cp:lastPrinted>2025-02-04T09:35:00Z</cp:lastPrinted>
  <dcterms:created xsi:type="dcterms:W3CDTF">2025-02-03T09:41:00Z</dcterms:created>
  <dcterms:modified xsi:type="dcterms:W3CDTF">2025-08-04T17:54:00Z</dcterms:modified>
</cp:coreProperties>
</file>