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C9CB" w14:textId="14EA7929" w:rsidR="00965A5F" w:rsidRDefault="00965A5F" w:rsidP="007205BE">
      <w:pPr>
        <w:jc w:val="right"/>
        <w:rPr>
          <w:rFonts w:ascii="Arial" w:hAnsi="Arial" w:cs="Arial"/>
          <w:sz w:val="24"/>
          <w:szCs w:val="24"/>
        </w:rPr>
      </w:pPr>
      <w:r w:rsidRPr="007205BE">
        <w:rPr>
          <w:rFonts w:ascii="Arial" w:hAnsi="Arial" w:cs="Arial"/>
          <w:sz w:val="24"/>
          <w:szCs w:val="24"/>
        </w:rPr>
        <w:t xml:space="preserve">Kazimierz Dolny, </w:t>
      </w:r>
      <w:r w:rsidR="007205BE" w:rsidRPr="007205BE">
        <w:rPr>
          <w:rFonts w:ascii="Arial" w:hAnsi="Arial" w:cs="Arial"/>
          <w:sz w:val="24"/>
          <w:szCs w:val="24"/>
        </w:rPr>
        <w:t>6 lutego</w:t>
      </w:r>
      <w:r w:rsidRPr="007205BE">
        <w:rPr>
          <w:rFonts w:ascii="Arial" w:hAnsi="Arial" w:cs="Arial"/>
          <w:sz w:val="24"/>
          <w:szCs w:val="24"/>
        </w:rPr>
        <w:t xml:space="preserve"> 2025 r.</w:t>
      </w:r>
    </w:p>
    <w:p w14:paraId="068F71DA" w14:textId="77777777" w:rsidR="00C34597" w:rsidRPr="007205BE" w:rsidRDefault="00C34597" w:rsidP="007205BE">
      <w:pPr>
        <w:jc w:val="right"/>
        <w:rPr>
          <w:rFonts w:ascii="Arial" w:hAnsi="Arial" w:cs="Arial"/>
          <w:sz w:val="24"/>
          <w:szCs w:val="24"/>
        </w:rPr>
      </w:pPr>
    </w:p>
    <w:p w14:paraId="17E99CA5" w14:textId="70DCCB51" w:rsidR="007205BE" w:rsidRDefault="007205BE" w:rsidP="007205BE">
      <w:pPr>
        <w:spacing w:before="100" w:beforeAutospacing="1" w:after="100" w:afterAutospacing="1" w:line="240" w:lineRule="auto"/>
        <w:jc w:val="center"/>
        <w:outlineLvl w:val="2"/>
        <w:rPr>
          <w:rFonts w:ascii="Arial" w:eastAsia="Times New Roman" w:hAnsi="Arial" w:cs="Arial"/>
          <w:b/>
          <w:bCs/>
          <w:kern w:val="0"/>
          <w:sz w:val="24"/>
          <w:szCs w:val="24"/>
          <w:lang w:eastAsia="pl-PL"/>
          <w14:ligatures w14:val="none"/>
        </w:rPr>
      </w:pPr>
      <w:r w:rsidRPr="007205BE">
        <w:rPr>
          <w:rFonts w:ascii="Arial" w:eastAsia="Times New Roman" w:hAnsi="Arial" w:cs="Arial"/>
          <w:b/>
          <w:bCs/>
          <w:kern w:val="0"/>
          <w:sz w:val="24"/>
          <w:szCs w:val="24"/>
          <w:lang w:eastAsia="pl-PL"/>
          <w14:ligatures w14:val="none"/>
        </w:rPr>
        <w:t>Dyspozycj</w:t>
      </w:r>
      <w:r>
        <w:rPr>
          <w:rFonts w:ascii="Arial" w:eastAsia="Times New Roman" w:hAnsi="Arial" w:cs="Arial"/>
          <w:b/>
          <w:bCs/>
          <w:kern w:val="0"/>
          <w:sz w:val="24"/>
          <w:szCs w:val="24"/>
          <w:lang w:eastAsia="pl-PL"/>
          <w14:ligatures w14:val="none"/>
        </w:rPr>
        <w:t>a</w:t>
      </w:r>
      <w:r w:rsidRPr="007205BE">
        <w:rPr>
          <w:rFonts w:ascii="Arial" w:eastAsia="Times New Roman" w:hAnsi="Arial" w:cs="Arial"/>
          <w:b/>
          <w:bCs/>
          <w:kern w:val="0"/>
          <w:sz w:val="24"/>
          <w:szCs w:val="24"/>
          <w:lang w:eastAsia="pl-PL"/>
          <w14:ligatures w14:val="none"/>
        </w:rPr>
        <w:t xml:space="preserve"> na wypadek śmierci </w:t>
      </w:r>
    </w:p>
    <w:p w14:paraId="119A030F" w14:textId="77777777" w:rsidR="00C34597" w:rsidRPr="007205BE" w:rsidRDefault="00C34597" w:rsidP="007205BE">
      <w:pPr>
        <w:spacing w:before="100" w:beforeAutospacing="1" w:after="100" w:afterAutospacing="1" w:line="240" w:lineRule="auto"/>
        <w:jc w:val="center"/>
        <w:outlineLvl w:val="2"/>
        <w:rPr>
          <w:rFonts w:ascii="Arial" w:eastAsia="Times New Roman" w:hAnsi="Arial" w:cs="Arial"/>
          <w:b/>
          <w:bCs/>
          <w:kern w:val="0"/>
          <w:sz w:val="24"/>
          <w:szCs w:val="24"/>
          <w:lang w:eastAsia="pl-PL"/>
          <w14:ligatures w14:val="none"/>
        </w:rPr>
      </w:pPr>
    </w:p>
    <w:p w14:paraId="2B3E0FBB" w14:textId="3942DCB9" w:rsidR="007205BE" w:rsidRPr="007205BE" w:rsidRDefault="007205BE" w:rsidP="007205BE">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Dyspozycj</w:t>
      </w:r>
      <w:r>
        <w:rPr>
          <w:rFonts w:ascii="Arial" w:eastAsia="Times New Roman" w:hAnsi="Arial" w:cs="Arial"/>
          <w:kern w:val="0"/>
          <w:sz w:val="24"/>
          <w:szCs w:val="24"/>
          <w:lang w:eastAsia="pl-PL"/>
          <w14:ligatures w14:val="none"/>
        </w:rPr>
        <w:t>a</w:t>
      </w:r>
      <w:r w:rsidRPr="007205BE">
        <w:rPr>
          <w:rFonts w:ascii="Arial" w:eastAsia="Times New Roman" w:hAnsi="Arial" w:cs="Arial"/>
          <w:kern w:val="0"/>
          <w:sz w:val="24"/>
          <w:szCs w:val="24"/>
          <w:lang w:eastAsia="pl-PL"/>
          <w14:ligatures w14:val="none"/>
        </w:rPr>
        <w:t xml:space="preserve"> na wypadek śmierci to ważny temat z zakresu prawa cywilnego, obejmujący różnorodne instytucje prawne, które mają na celu uporządkowanie kwestii majątkowych po śmierci osoby. W polskim systemie prawnym najistotniejsze regulacje dotyczące tego zagadnienia znajdują się w Kodeksie cywilnym, a także w innych przepisach, które umożliwiają osobom fizycznym wyrażenie woli co do rozporządzania ich majątkiem na wypadek śmierci.</w:t>
      </w:r>
    </w:p>
    <w:p w14:paraId="7D666491" w14:textId="77777777" w:rsidR="007205BE" w:rsidRPr="007205BE" w:rsidRDefault="007205BE" w:rsidP="007205BE">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1. Testament jako podstawowa forma dyspozycji majątkiem po śmierci</w:t>
      </w:r>
    </w:p>
    <w:p w14:paraId="5C2D10D3" w14:textId="0F638CA1" w:rsidR="007205BE" w:rsidRPr="007205BE" w:rsidRDefault="007205BE" w:rsidP="007205BE">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Testament jest najczęściej spotykaną formą wyrażenia woli osoby fizycznej w</w:t>
      </w:r>
      <w:r w:rsidR="00C34597">
        <w:rPr>
          <w:rFonts w:ascii="Arial" w:eastAsia="Times New Roman" w:hAnsi="Arial" w:cs="Arial"/>
          <w:kern w:val="0"/>
          <w:sz w:val="24"/>
          <w:szCs w:val="24"/>
          <w:lang w:eastAsia="pl-PL"/>
          <w14:ligatures w14:val="none"/>
        </w:rPr>
        <w:t> </w:t>
      </w:r>
      <w:r w:rsidRPr="007205BE">
        <w:rPr>
          <w:rFonts w:ascii="Arial" w:eastAsia="Times New Roman" w:hAnsi="Arial" w:cs="Arial"/>
          <w:kern w:val="0"/>
          <w:sz w:val="24"/>
          <w:szCs w:val="24"/>
          <w:lang w:eastAsia="pl-PL"/>
          <w14:ligatures w14:val="none"/>
        </w:rPr>
        <w:t>zakresie rozporządzania jej majątkiem po śmierci. Jest to jednostronna czynność prawna, która ma na celu wskazanie, kto i w jakim zakresie otrzyma majątek po śmierci testatora. Zgodnie z Kodeksem cywilnym, testament może być sporządzony w różnych formach, z których najważniejsze to:</w:t>
      </w:r>
    </w:p>
    <w:p w14:paraId="47EB5C1F" w14:textId="77777777" w:rsidR="007205BE" w:rsidRPr="007205BE" w:rsidRDefault="007205BE" w:rsidP="007205BE">
      <w:pPr>
        <w:numPr>
          <w:ilvl w:val="0"/>
          <w:numId w:val="4"/>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Testament własnoręczny (holograficzny)</w:t>
      </w:r>
      <w:r w:rsidRPr="007205BE">
        <w:rPr>
          <w:rFonts w:ascii="Arial" w:eastAsia="Times New Roman" w:hAnsi="Arial" w:cs="Arial"/>
          <w:kern w:val="0"/>
          <w:sz w:val="24"/>
          <w:szCs w:val="24"/>
          <w:lang w:eastAsia="pl-PL"/>
          <w14:ligatures w14:val="none"/>
        </w:rPr>
        <w:t xml:space="preserve"> – zgodnie z art. 949 Kodeksu cywilnego, testament ten musi być sporządzony osobiście przez testatora, podpisany przez niego oraz opatrzony datą. Forma ta nie wymaga udziału notariusza, jednakże aby testament był ważny, musi spełniać wszystkie wymogi ustawowe.</w:t>
      </w:r>
    </w:p>
    <w:p w14:paraId="2B39F990" w14:textId="6C7097BF" w:rsidR="007205BE" w:rsidRPr="007205BE" w:rsidRDefault="007205BE" w:rsidP="007205BE">
      <w:pPr>
        <w:numPr>
          <w:ilvl w:val="0"/>
          <w:numId w:val="4"/>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Testament notarialny</w:t>
      </w:r>
      <w:r w:rsidRPr="007205BE">
        <w:rPr>
          <w:rFonts w:ascii="Arial" w:eastAsia="Times New Roman" w:hAnsi="Arial" w:cs="Arial"/>
          <w:kern w:val="0"/>
          <w:sz w:val="24"/>
          <w:szCs w:val="24"/>
          <w:lang w:eastAsia="pl-PL"/>
          <w14:ligatures w14:val="none"/>
        </w:rPr>
        <w:t xml:space="preserve"> – jest to testament sporządzony w formie aktu notarialnego, który gwarantuje pełną pewność co do autentyczności dokumentu. Testament ten sporządzany jest przez </w:t>
      </w:r>
      <w:r w:rsidR="00C34597">
        <w:rPr>
          <w:rFonts w:ascii="Arial" w:eastAsia="Times New Roman" w:hAnsi="Arial" w:cs="Arial"/>
          <w:kern w:val="0"/>
          <w:sz w:val="24"/>
          <w:szCs w:val="24"/>
          <w:lang w:eastAsia="pl-PL"/>
          <w14:ligatures w14:val="none"/>
        </w:rPr>
        <w:t>notariusza.</w:t>
      </w:r>
    </w:p>
    <w:p w14:paraId="6A27DD28" w14:textId="77777777" w:rsidR="007205BE" w:rsidRPr="007205BE" w:rsidRDefault="007205BE" w:rsidP="007205BE">
      <w:pPr>
        <w:numPr>
          <w:ilvl w:val="0"/>
          <w:numId w:val="4"/>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Testament allograficzny</w:t>
      </w:r>
      <w:r w:rsidRPr="007205BE">
        <w:rPr>
          <w:rFonts w:ascii="Arial" w:eastAsia="Times New Roman" w:hAnsi="Arial" w:cs="Arial"/>
          <w:kern w:val="0"/>
          <w:sz w:val="24"/>
          <w:szCs w:val="24"/>
          <w:lang w:eastAsia="pl-PL"/>
          <w14:ligatures w14:val="none"/>
        </w:rPr>
        <w:t xml:space="preserve"> – forma testamentu, w której testator składa swoją wolę przed upoważnionym urzędnikiem (np. w urzędzie stanu cywilnego), przy świadkach. Forma ta jest rzadsza i występuje głównie w sytuacjach, gdy testator nie może podpisać testamentu własnoręcznie.</w:t>
      </w:r>
    </w:p>
    <w:p w14:paraId="165C2B30" w14:textId="77777777" w:rsidR="007205BE" w:rsidRPr="007205BE" w:rsidRDefault="007205BE" w:rsidP="007205BE">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Testament, jako akt jednostronny, może być zmieniany i odwoływany w dowolnym czasie przez testatora, aż do chwili jego śmierci. Istotną funkcją testamentu jest zapewnienie testatorowi swobody w rozporządzaniu majątkiem, w tym możliwość przekazania go na rzecz wybranych osób, organizacji lub fundacji.</w:t>
      </w:r>
    </w:p>
    <w:p w14:paraId="68F19A3D" w14:textId="2A27DA59" w:rsidR="007205BE" w:rsidRPr="007205BE" w:rsidRDefault="007205BE" w:rsidP="007205BE">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2. Umowy darowizny na wypadek śmierci</w:t>
      </w:r>
    </w:p>
    <w:p w14:paraId="17B71325" w14:textId="77777777" w:rsidR="007205BE" w:rsidRPr="007205BE" w:rsidRDefault="007205BE" w:rsidP="007205BE">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Kolejną formą dyspozycji na wypadek śmierci są umowy darowizny zawierające klauzulę na wypadek śmierci. Zgodnie z art. 892 Kodeksu cywilnego, darowizna może zostać dokonana z zastrzeżeniem, że darowizna stanie się skuteczna dopiero po śmierci darczyńcy. W takim przypadku darowizna jest traktowana jako forma rozporządzenia majątkiem na wypadek śmierci, podobnie jak testament.</w:t>
      </w:r>
    </w:p>
    <w:p w14:paraId="65662504" w14:textId="77777777" w:rsidR="007205BE" w:rsidRPr="007205BE" w:rsidRDefault="007205BE" w:rsidP="007205BE">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lastRenderedPageBreak/>
        <w:t>Darowizna ta ma swoje szczególne cechy:</w:t>
      </w:r>
    </w:p>
    <w:p w14:paraId="1AA6FB99" w14:textId="77777777" w:rsidR="007205BE" w:rsidRPr="007205BE" w:rsidRDefault="007205BE" w:rsidP="007205BE">
      <w:pPr>
        <w:numPr>
          <w:ilvl w:val="0"/>
          <w:numId w:val="5"/>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Wymaga zgody obdarowanego</w:t>
      </w:r>
      <w:r w:rsidRPr="007205BE">
        <w:rPr>
          <w:rFonts w:ascii="Arial" w:eastAsia="Times New Roman" w:hAnsi="Arial" w:cs="Arial"/>
          <w:kern w:val="0"/>
          <w:sz w:val="24"/>
          <w:szCs w:val="24"/>
          <w:lang w:eastAsia="pl-PL"/>
          <w14:ligatures w14:val="none"/>
        </w:rPr>
        <w:t xml:space="preserve"> – osoba, która ma stać się obdarowaną, musi wyrazić zgodę na taką formę darowizny.</w:t>
      </w:r>
    </w:p>
    <w:p w14:paraId="130EDAB3" w14:textId="11D7FA89" w:rsidR="007205BE" w:rsidRPr="007205BE" w:rsidRDefault="007205BE" w:rsidP="007205BE">
      <w:pPr>
        <w:numPr>
          <w:ilvl w:val="0"/>
          <w:numId w:val="5"/>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Przekazanie majątku</w:t>
      </w:r>
      <w:r w:rsidRPr="007205BE">
        <w:rPr>
          <w:rFonts w:ascii="Arial" w:eastAsia="Times New Roman" w:hAnsi="Arial" w:cs="Arial"/>
          <w:kern w:val="0"/>
          <w:sz w:val="24"/>
          <w:szCs w:val="24"/>
          <w:lang w:eastAsia="pl-PL"/>
          <w14:ligatures w14:val="none"/>
        </w:rPr>
        <w:t xml:space="preserve"> – darowizna staje się skuteczna dopiero po śmierci darczyńcy</w:t>
      </w:r>
      <w:r w:rsidR="00C34597">
        <w:rPr>
          <w:rFonts w:ascii="Arial" w:eastAsia="Times New Roman" w:hAnsi="Arial" w:cs="Arial"/>
          <w:kern w:val="0"/>
          <w:sz w:val="24"/>
          <w:szCs w:val="24"/>
          <w:lang w:eastAsia="pl-PL"/>
          <w14:ligatures w14:val="none"/>
        </w:rPr>
        <w:t>.</w:t>
      </w:r>
    </w:p>
    <w:p w14:paraId="6D50B81F" w14:textId="77777777" w:rsidR="007205BE" w:rsidRPr="007205BE" w:rsidRDefault="007205BE" w:rsidP="007205BE">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3. Instytucja zachowku – ochrona bliskich osób przed pozbawieniem spadku</w:t>
      </w:r>
    </w:p>
    <w:p w14:paraId="4CB480AF" w14:textId="01212D1A" w:rsidR="007205BE" w:rsidRPr="007205BE" w:rsidRDefault="007205BE" w:rsidP="007205BE">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Zachowek jest formą ochrony osób bliskich testatorowi, które na mocy testamentu zostałyby pozbawione części majątku. Przepisy dotyczące zachowku znajdują się w art. 991–1011 Kodeksu cywilnego. Zgodnie z tymi przepisami, osoby uprawnione do zachowku mogą żądać od spadkobierców wypłaty zachowku, jeśli nie zostały uwzględnione w testamencie lub jeśli kwota, którą otrzymały, jest zbyt mała w</w:t>
      </w:r>
      <w:r w:rsidR="00C34597">
        <w:rPr>
          <w:rFonts w:ascii="Arial" w:eastAsia="Times New Roman" w:hAnsi="Arial" w:cs="Arial"/>
          <w:kern w:val="0"/>
          <w:sz w:val="24"/>
          <w:szCs w:val="24"/>
          <w:lang w:eastAsia="pl-PL"/>
          <w14:ligatures w14:val="none"/>
        </w:rPr>
        <w:t> </w:t>
      </w:r>
      <w:r w:rsidRPr="007205BE">
        <w:rPr>
          <w:rFonts w:ascii="Arial" w:eastAsia="Times New Roman" w:hAnsi="Arial" w:cs="Arial"/>
          <w:kern w:val="0"/>
          <w:sz w:val="24"/>
          <w:szCs w:val="24"/>
          <w:lang w:eastAsia="pl-PL"/>
          <w14:ligatures w14:val="none"/>
        </w:rPr>
        <w:t>stosunku do ich ustawowego prawa do części majątku.</w:t>
      </w:r>
    </w:p>
    <w:p w14:paraId="43B9AA7E" w14:textId="77777777" w:rsidR="007205BE" w:rsidRPr="007205BE" w:rsidRDefault="007205BE" w:rsidP="007205BE">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Osobami uprawnionymi do zachowku są:</w:t>
      </w:r>
    </w:p>
    <w:p w14:paraId="44CE7359" w14:textId="77777777" w:rsidR="007205BE" w:rsidRPr="007205BE" w:rsidRDefault="007205BE" w:rsidP="007205BE">
      <w:pPr>
        <w:numPr>
          <w:ilvl w:val="0"/>
          <w:numId w:val="6"/>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dzieci,</w:t>
      </w:r>
    </w:p>
    <w:p w14:paraId="3F2BF36D" w14:textId="77777777" w:rsidR="007205BE" w:rsidRPr="007205BE" w:rsidRDefault="007205BE" w:rsidP="007205BE">
      <w:pPr>
        <w:numPr>
          <w:ilvl w:val="0"/>
          <w:numId w:val="6"/>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małżonek,</w:t>
      </w:r>
    </w:p>
    <w:p w14:paraId="14266B20" w14:textId="77777777" w:rsidR="007205BE" w:rsidRPr="007205BE" w:rsidRDefault="007205BE" w:rsidP="007205BE">
      <w:pPr>
        <w:numPr>
          <w:ilvl w:val="0"/>
          <w:numId w:val="6"/>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rodzice, jeśli testator nie miał dzieci.</w:t>
      </w:r>
    </w:p>
    <w:p w14:paraId="20E86BE4" w14:textId="77777777" w:rsidR="007205BE" w:rsidRPr="007205BE" w:rsidRDefault="007205BE" w:rsidP="007205BE">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Uprawnione osoby mogą domagać się wypłaty zachowku w wysokości połowy wartości udziału spadkowego, który by im przypadał, gdyby dziedziczyli na mocy ustawy. Dzieci mogą domagać się dwóch trzecich tej kwoty, jeżeli są małoletnie lub niepełnosprawne.</w:t>
      </w:r>
    </w:p>
    <w:p w14:paraId="2A83076B" w14:textId="18B6CA4D" w:rsidR="007205BE" w:rsidRPr="007205BE" w:rsidRDefault="00C34597" w:rsidP="007205BE">
      <w:pPr>
        <w:spacing w:before="100" w:beforeAutospacing="1" w:after="100" w:afterAutospacing="1" w:line="240" w:lineRule="auto"/>
        <w:jc w:val="both"/>
        <w:rPr>
          <w:rFonts w:ascii="Arial" w:eastAsia="Times New Roman" w:hAnsi="Arial" w:cs="Arial"/>
          <w:kern w:val="0"/>
          <w:sz w:val="24"/>
          <w:szCs w:val="24"/>
          <w:lang w:eastAsia="pl-PL"/>
          <w14:ligatures w14:val="none"/>
        </w:rPr>
      </w:pPr>
      <w:r>
        <w:rPr>
          <w:rFonts w:ascii="Arial" w:eastAsia="Times New Roman" w:hAnsi="Arial" w:cs="Arial"/>
          <w:b/>
          <w:bCs/>
          <w:kern w:val="0"/>
          <w:sz w:val="24"/>
          <w:szCs w:val="24"/>
          <w:lang w:eastAsia="pl-PL"/>
          <w14:ligatures w14:val="none"/>
        </w:rPr>
        <w:t>4</w:t>
      </w:r>
      <w:r w:rsidR="007205BE" w:rsidRPr="007205BE">
        <w:rPr>
          <w:rFonts w:ascii="Arial" w:eastAsia="Times New Roman" w:hAnsi="Arial" w:cs="Arial"/>
          <w:b/>
          <w:bCs/>
          <w:kern w:val="0"/>
          <w:sz w:val="24"/>
          <w:szCs w:val="24"/>
          <w:lang w:eastAsia="pl-PL"/>
          <w14:ligatures w14:val="none"/>
        </w:rPr>
        <w:t>. Skutki niewłaściwego sporządzenia dyspozycji na wypadek śmierci</w:t>
      </w:r>
    </w:p>
    <w:p w14:paraId="7FC063D1" w14:textId="77777777" w:rsidR="007205BE" w:rsidRPr="007205BE" w:rsidRDefault="007205BE" w:rsidP="007205BE">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Niewłaściwe sporządzenie testamentu lub innych dyspozycji na wypadek śmierci może prowadzić do problemów prawnych, w tym do unieważnienia dokumentu lub sporów między spadkobiercami. Warto zwrócić uwagę na następujące zagrożenia:</w:t>
      </w:r>
    </w:p>
    <w:p w14:paraId="12C241DD" w14:textId="77777777" w:rsidR="007205BE" w:rsidRPr="007205BE" w:rsidRDefault="007205BE" w:rsidP="007205BE">
      <w:pPr>
        <w:numPr>
          <w:ilvl w:val="0"/>
          <w:numId w:val="7"/>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Brak zgodności z formą przewidzianą przez prawo</w:t>
      </w:r>
      <w:r w:rsidRPr="007205BE">
        <w:rPr>
          <w:rFonts w:ascii="Arial" w:eastAsia="Times New Roman" w:hAnsi="Arial" w:cs="Arial"/>
          <w:kern w:val="0"/>
          <w:sz w:val="24"/>
          <w:szCs w:val="24"/>
          <w:lang w:eastAsia="pl-PL"/>
          <w14:ligatures w14:val="none"/>
        </w:rPr>
        <w:t xml:space="preserve"> – np. niepodpisanie testamentu przez testatora, brak daty, sporządzenie testamentu w niewłaściwej formie.</w:t>
      </w:r>
    </w:p>
    <w:p w14:paraId="4165755B" w14:textId="243595CA" w:rsidR="007205BE" w:rsidRPr="007205BE" w:rsidRDefault="007205BE" w:rsidP="007205BE">
      <w:pPr>
        <w:numPr>
          <w:ilvl w:val="0"/>
          <w:numId w:val="7"/>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Niewłaściwe rozporządzenie majątkiem</w:t>
      </w:r>
      <w:r w:rsidRPr="007205BE">
        <w:rPr>
          <w:rFonts w:ascii="Arial" w:eastAsia="Times New Roman" w:hAnsi="Arial" w:cs="Arial"/>
          <w:kern w:val="0"/>
          <w:sz w:val="24"/>
          <w:szCs w:val="24"/>
          <w:lang w:eastAsia="pl-PL"/>
          <w14:ligatures w14:val="none"/>
        </w:rPr>
        <w:t xml:space="preserve"> – nieprzestrzeganie przepisów o</w:t>
      </w:r>
      <w:r w:rsidR="00C34597">
        <w:rPr>
          <w:rFonts w:ascii="Arial" w:eastAsia="Times New Roman" w:hAnsi="Arial" w:cs="Arial"/>
          <w:kern w:val="0"/>
          <w:sz w:val="24"/>
          <w:szCs w:val="24"/>
          <w:lang w:eastAsia="pl-PL"/>
          <w14:ligatures w14:val="none"/>
        </w:rPr>
        <w:t> </w:t>
      </w:r>
      <w:r w:rsidRPr="007205BE">
        <w:rPr>
          <w:rFonts w:ascii="Arial" w:eastAsia="Times New Roman" w:hAnsi="Arial" w:cs="Arial"/>
          <w:kern w:val="0"/>
          <w:sz w:val="24"/>
          <w:szCs w:val="24"/>
          <w:lang w:eastAsia="pl-PL"/>
          <w14:ligatures w14:val="none"/>
        </w:rPr>
        <w:t>zachowku lub niewłaściwe określenie spadkobierców.</w:t>
      </w:r>
    </w:p>
    <w:p w14:paraId="6C53F521" w14:textId="77777777" w:rsidR="007205BE" w:rsidRPr="007205BE" w:rsidRDefault="007205BE" w:rsidP="007205BE">
      <w:pPr>
        <w:numPr>
          <w:ilvl w:val="0"/>
          <w:numId w:val="7"/>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7205BE">
        <w:rPr>
          <w:rFonts w:ascii="Arial" w:eastAsia="Times New Roman" w:hAnsi="Arial" w:cs="Arial"/>
          <w:b/>
          <w:bCs/>
          <w:kern w:val="0"/>
          <w:sz w:val="24"/>
          <w:szCs w:val="24"/>
          <w:lang w:eastAsia="pl-PL"/>
          <w14:ligatures w14:val="none"/>
        </w:rPr>
        <w:t>Brak jasności w intencjach testatora</w:t>
      </w:r>
      <w:r w:rsidRPr="007205BE">
        <w:rPr>
          <w:rFonts w:ascii="Arial" w:eastAsia="Times New Roman" w:hAnsi="Arial" w:cs="Arial"/>
          <w:kern w:val="0"/>
          <w:sz w:val="24"/>
          <w:szCs w:val="24"/>
          <w:lang w:eastAsia="pl-PL"/>
          <w14:ligatures w14:val="none"/>
        </w:rPr>
        <w:t xml:space="preserve"> – testament, który jest nieprecyzyjny, może prowadzić do problemów interpretacyjnych w zakresie wyrażonej woli.</w:t>
      </w:r>
    </w:p>
    <w:p w14:paraId="6CA54F53" w14:textId="5C7404FA" w:rsidR="007205BE" w:rsidRPr="007205BE" w:rsidRDefault="007205BE" w:rsidP="007205BE">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7205BE">
        <w:rPr>
          <w:rFonts w:ascii="Arial" w:eastAsia="Times New Roman" w:hAnsi="Arial" w:cs="Arial"/>
          <w:kern w:val="0"/>
          <w:sz w:val="24"/>
          <w:szCs w:val="24"/>
          <w:lang w:eastAsia="pl-PL"/>
          <w14:ligatures w14:val="none"/>
        </w:rPr>
        <w:t xml:space="preserve">Dyspozycje na wypadek śmierci stanowią istotny element planowania majątkowego i są niezbędnym narzędziem ochrony interesów osób fizycznych. Testamenty, darowizny na wypadek śmierci oraz zachowek są najważniejszymi instytucjami prawymi w tym zakresie, a ich odpowiednie stosowanie zapewnia porządek prawny w sprawach majątkowych po śmierci osoby. Ważne jest, aby </w:t>
      </w:r>
      <w:r w:rsidRPr="007205BE">
        <w:rPr>
          <w:rFonts w:ascii="Arial" w:eastAsia="Times New Roman" w:hAnsi="Arial" w:cs="Arial"/>
          <w:kern w:val="0"/>
          <w:sz w:val="24"/>
          <w:szCs w:val="24"/>
          <w:lang w:eastAsia="pl-PL"/>
          <w14:ligatures w14:val="none"/>
        </w:rPr>
        <w:lastRenderedPageBreak/>
        <w:t>dyspozycje te były sporządzane zgodnie z obowiązującymi przepisami prawa, aby uniknąć ewentualnych sporów i nieporozumień wśród spadkobierców.</w:t>
      </w:r>
    </w:p>
    <w:p w14:paraId="398564F9" w14:textId="77777777" w:rsidR="00965A5F" w:rsidRPr="007205BE" w:rsidRDefault="00965A5F" w:rsidP="007205BE">
      <w:pPr>
        <w:jc w:val="both"/>
        <w:rPr>
          <w:rFonts w:ascii="Arial" w:hAnsi="Arial" w:cs="Arial"/>
          <w:b/>
          <w:bCs/>
          <w:sz w:val="24"/>
          <w:szCs w:val="24"/>
        </w:rPr>
      </w:pPr>
    </w:p>
    <w:p w14:paraId="4ABA03D7" w14:textId="77777777" w:rsidR="00317246" w:rsidRPr="007205BE" w:rsidRDefault="00317246" w:rsidP="007205BE">
      <w:pPr>
        <w:jc w:val="both"/>
        <w:rPr>
          <w:rFonts w:ascii="Arial" w:hAnsi="Arial" w:cs="Arial"/>
          <w:sz w:val="24"/>
          <w:szCs w:val="24"/>
        </w:rPr>
      </w:pPr>
    </w:p>
    <w:p w14:paraId="2BE17765" w14:textId="4B77FBA8" w:rsidR="00965A5F" w:rsidRPr="007205BE" w:rsidRDefault="00965A5F" w:rsidP="007205BE">
      <w:pPr>
        <w:spacing w:line="360" w:lineRule="auto"/>
        <w:ind w:left="3540" w:firstLine="708"/>
        <w:jc w:val="both"/>
        <w:rPr>
          <w:rFonts w:ascii="Arial" w:eastAsia="Calibri" w:hAnsi="Arial" w:cs="Arial"/>
          <w:sz w:val="24"/>
          <w:szCs w:val="24"/>
        </w:rPr>
      </w:pPr>
      <w:r w:rsidRPr="007205BE">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205BE"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205BE">
        <w:rPr>
          <w:rFonts w:ascii="Arial" w:eastAsia="Times New Roman" w:hAnsi="Arial" w:cs="Arial"/>
          <w:color w:val="333333"/>
          <w:kern w:val="0"/>
          <w:sz w:val="24"/>
          <w:szCs w:val="24"/>
          <w:lang w:eastAsia="pl-PL"/>
          <w14:ligatures w14:val="none"/>
        </w:rPr>
        <w:t>Radca prawny Dagna Kozub</w:t>
      </w:r>
    </w:p>
    <w:p w14:paraId="4136A85D" w14:textId="77777777" w:rsidR="005F6A80" w:rsidRPr="007205BE" w:rsidRDefault="005F6A80" w:rsidP="007205BE">
      <w:pPr>
        <w:jc w:val="both"/>
        <w:rPr>
          <w:rFonts w:ascii="Arial" w:hAnsi="Arial" w:cs="Arial"/>
          <w:sz w:val="24"/>
          <w:szCs w:val="24"/>
        </w:rPr>
      </w:pPr>
    </w:p>
    <w:p w14:paraId="557963D8" w14:textId="77777777" w:rsidR="005F6A80" w:rsidRPr="007205BE" w:rsidRDefault="005F6A80" w:rsidP="007205BE">
      <w:pPr>
        <w:jc w:val="both"/>
        <w:rPr>
          <w:rFonts w:ascii="Arial" w:hAnsi="Arial" w:cs="Arial"/>
          <w:sz w:val="24"/>
          <w:szCs w:val="24"/>
        </w:rPr>
      </w:pPr>
    </w:p>
    <w:p w14:paraId="65C9D48F" w14:textId="77777777" w:rsidR="005F6A80" w:rsidRPr="007205BE" w:rsidRDefault="005F6A80" w:rsidP="007205BE">
      <w:pPr>
        <w:jc w:val="both"/>
        <w:rPr>
          <w:rFonts w:ascii="Arial" w:hAnsi="Arial" w:cs="Arial"/>
          <w:sz w:val="24"/>
          <w:szCs w:val="24"/>
        </w:rPr>
      </w:pPr>
    </w:p>
    <w:p w14:paraId="263B5506" w14:textId="77777777" w:rsidR="005F6A80" w:rsidRPr="007205BE" w:rsidRDefault="005F6A80" w:rsidP="007205BE">
      <w:pPr>
        <w:jc w:val="both"/>
        <w:rPr>
          <w:rFonts w:ascii="Arial" w:hAnsi="Arial" w:cs="Arial"/>
          <w:sz w:val="24"/>
          <w:szCs w:val="24"/>
        </w:rPr>
      </w:pPr>
    </w:p>
    <w:p w14:paraId="31E1082B" w14:textId="77777777" w:rsidR="005F6A80" w:rsidRPr="007205BE" w:rsidRDefault="005F6A80" w:rsidP="007205BE">
      <w:pPr>
        <w:jc w:val="both"/>
        <w:rPr>
          <w:rFonts w:ascii="Arial" w:hAnsi="Arial" w:cs="Arial"/>
          <w:sz w:val="24"/>
          <w:szCs w:val="24"/>
        </w:rPr>
      </w:pPr>
    </w:p>
    <w:p w14:paraId="12448E44" w14:textId="77777777" w:rsidR="005F6A80" w:rsidRPr="007205BE" w:rsidRDefault="005F6A80" w:rsidP="007205BE">
      <w:pPr>
        <w:jc w:val="both"/>
        <w:rPr>
          <w:rFonts w:ascii="Arial" w:hAnsi="Arial" w:cs="Arial"/>
          <w:sz w:val="24"/>
          <w:szCs w:val="24"/>
        </w:rPr>
      </w:pPr>
    </w:p>
    <w:p w14:paraId="6FE4C78F" w14:textId="77777777" w:rsidR="005F6A80" w:rsidRPr="007205BE" w:rsidRDefault="005F6A80" w:rsidP="007205BE">
      <w:pPr>
        <w:jc w:val="both"/>
        <w:rPr>
          <w:rFonts w:ascii="Arial" w:hAnsi="Arial" w:cs="Arial"/>
          <w:sz w:val="24"/>
          <w:szCs w:val="24"/>
        </w:rPr>
      </w:pPr>
    </w:p>
    <w:sectPr w:rsidR="005F6A80" w:rsidRPr="007205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09A4" w14:textId="77777777" w:rsidR="0073037A" w:rsidRDefault="0073037A" w:rsidP="00965A5F">
      <w:pPr>
        <w:spacing w:after="0" w:line="240" w:lineRule="auto"/>
      </w:pPr>
      <w:r>
        <w:separator/>
      </w:r>
    </w:p>
  </w:endnote>
  <w:endnote w:type="continuationSeparator" w:id="0">
    <w:p w14:paraId="17D49C66" w14:textId="77777777" w:rsidR="0073037A" w:rsidRDefault="0073037A"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A476" w14:textId="77777777" w:rsidR="0073037A" w:rsidRDefault="0073037A" w:rsidP="00965A5F">
      <w:pPr>
        <w:spacing w:after="0" w:line="240" w:lineRule="auto"/>
      </w:pPr>
      <w:r>
        <w:separator/>
      </w:r>
    </w:p>
  </w:footnote>
  <w:footnote w:type="continuationSeparator" w:id="0">
    <w:p w14:paraId="60D11F53" w14:textId="77777777" w:rsidR="0073037A" w:rsidRDefault="0073037A"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C34597">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85pt;height:60.3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0"/>
  </w:num>
  <w:num w:numId="2" w16cid:durableId="1213811931">
    <w:abstractNumId w:val="2"/>
  </w:num>
  <w:num w:numId="3" w16cid:durableId="455222665">
    <w:abstractNumId w:val="1"/>
  </w:num>
  <w:num w:numId="4" w16cid:durableId="2017147699">
    <w:abstractNumId w:val="5"/>
  </w:num>
  <w:num w:numId="5" w16cid:durableId="810951206">
    <w:abstractNumId w:val="3"/>
  </w:num>
  <w:num w:numId="6" w16cid:durableId="860361570">
    <w:abstractNumId w:val="6"/>
  </w:num>
  <w:num w:numId="7" w16cid:durableId="221138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194366"/>
    <w:rsid w:val="001F23CD"/>
    <w:rsid w:val="00317246"/>
    <w:rsid w:val="00411B3C"/>
    <w:rsid w:val="00412B11"/>
    <w:rsid w:val="005632AD"/>
    <w:rsid w:val="005E3B93"/>
    <w:rsid w:val="005F4B6E"/>
    <w:rsid w:val="005F6A80"/>
    <w:rsid w:val="006B5C55"/>
    <w:rsid w:val="007205BE"/>
    <w:rsid w:val="0073037A"/>
    <w:rsid w:val="007A5564"/>
    <w:rsid w:val="00863F3C"/>
    <w:rsid w:val="00965A5F"/>
    <w:rsid w:val="00983CF3"/>
    <w:rsid w:val="00A20133"/>
    <w:rsid w:val="00AC3F82"/>
    <w:rsid w:val="00B90A25"/>
    <w:rsid w:val="00BE6511"/>
    <w:rsid w:val="00C34597"/>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682</Words>
  <Characters>4092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9</cp:revision>
  <cp:lastPrinted>2025-02-04T09:35:00Z</cp:lastPrinted>
  <dcterms:created xsi:type="dcterms:W3CDTF">2025-02-03T09:41:00Z</dcterms:created>
  <dcterms:modified xsi:type="dcterms:W3CDTF">2025-02-28T12:37:00Z</dcterms:modified>
</cp:coreProperties>
</file>