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C9CB" w14:textId="7DEFFD98" w:rsidR="00965A5F" w:rsidRPr="006B135F" w:rsidRDefault="00965A5F" w:rsidP="002B62AA">
      <w:pPr>
        <w:jc w:val="right"/>
        <w:rPr>
          <w:rFonts w:ascii="Arial" w:hAnsi="Arial" w:cs="Arial"/>
          <w:sz w:val="24"/>
          <w:szCs w:val="24"/>
        </w:rPr>
      </w:pPr>
      <w:r w:rsidRPr="009A7AC8">
        <w:rPr>
          <w:rFonts w:ascii="Arial" w:hAnsi="Arial" w:cs="Arial"/>
          <w:sz w:val="24"/>
          <w:szCs w:val="24"/>
        </w:rPr>
        <w:t xml:space="preserve">Kazimierz Dolny, </w:t>
      </w:r>
      <w:r w:rsidR="009A7AC8" w:rsidRPr="009A7AC8">
        <w:rPr>
          <w:rFonts w:ascii="Arial" w:hAnsi="Arial" w:cs="Arial"/>
          <w:sz w:val="24"/>
          <w:szCs w:val="24"/>
        </w:rPr>
        <w:t>4 kwietnia</w:t>
      </w:r>
      <w:r w:rsidRPr="009A7AC8">
        <w:rPr>
          <w:rFonts w:ascii="Arial" w:hAnsi="Arial" w:cs="Arial"/>
          <w:sz w:val="24"/>
          <w:szCs w:val="24"/>
        </w:rPr>
        <w:t xml:space="preserve"> 2025 r.</w:t>
      </w:r>
    </w:p>
    <w:p w14:paraId="586343A4" w14:textId="77777777" w:rsidR="00E12102" w:rsidRDefault="0093331A" w:rsidP="006B135F">
      <w:pPr>
        <w:jc w:val="both"/>
        <w:rPr>
          <w:rFonts w:ascii="Arial" w:hAnsi="Arial" w:cs="Arial"/>
          <w:sz w:val="24"/>
          <w:szCs w:val="24"/>
        </w:rPr>
      </w:pPr>
      <w:r w:rsidRPr="0093331A">
        <w:rPr>
          <w:rFonts w:ascii="Arial" w:hAnsi="Arial" w:cs="Arial"/>
          <w:sz w:val="24"/>
          <w:szCs w:val="24"/>
        </w:rPr>
        <w:t>​</w:t>
      </w:r>
    </w:p>
    <w:p w14:paraId="501C222B" w14:textId="12A82A16" w:rsidR="0093331A" w:rsidRDefault="0093331A" w:rsidP="006B13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3331A">
        <w:rPr>
          <w:rFonts w:ascii="Arial" w:hAnsi="Arial" w:cs="Arial"/>
          <w:b/>
          <w:bCs/>
          <w:sz w:val="24"/>
          <w:szCs w:val="24"/>
        </w:rPr>
        <w:t>Jak ZUS powinien przeliczyć emeryturę i wypłacić wyrównanie po wyroku Trybunału Konstytucyjnego z 4 czerwca 2024 r. – analiza prawna</w:t>
      </w:r>
    </w:p>
    <w:p w14:paraId="716B3826" w14:textId="5B271E9B" w:rsidR="006B135F" w:rsidRDefault="006B135F" w:rsidP="00DB6DB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35F">
        <w:rPr>
          <w:rFonts w:ascii="Arial" w:hAnsi="Arial" w:cs="Arial"/>
          <w:sz w:val="24"/>
          <w:szCs w:val="24"/>
        </w:rPr>
        <w:t xml:space="preserve">Wyrok Trybunału Konstytucyjnego z 4 czerwca 2024 r. (sygn. SK 140/20) uznał za niezgodny z Konstytucją RP art. 25 ust. 1b ustawy o emeryturach i rentach z Funduszu Ubezpieczeń Społecznych (Dz.U. z 2023 r. poz. 1251). Przepis ten przewidywał pomniejszenie podstawy obliczenia emerytury o sumę kwot pobranej wcześniejszej emerytury, co prowadziło do obniżenia świadczeń dla osób przechodzących z emerytury wcześniejszej na powszechną. </w:t>
      </w:r>
    </w:p>
    <w:p w14:paraId="00301F74" w14:textId="77777777" w:rsidR="00DB6DB0" w:rsidRPr="006B135F" w:rsidRDefault="00DB6DB0" w:rsidP="00DB6DB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955FF38" w14:textId="77777777" w:rsidR="006B135F" w:rsidRPr="006B135F" w:rsidRDefault="006B135F" w:rsidP="006B13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B135F">
        <w:rPr>
          <w:rFonts w:ascii="Arial" w:hAnsi="Arial" w:cs="Arial"/>
          <w:b/>
          <w:bCs/>
          <w:sz w:val="24"/>
          <w:szCs w:val="24"/>
        </w:rPr>
        <w:t>Podstawa prawna przeliczenia emerytury</w:t>
      </w:r>
    </w:p>
    <w:p w14:paraId="332CD319" w14:textId="77777777" w:rsidR="006B135F" w:rsidRPr="00084F95" w:rsidRDefault="006B135F" w:rsidP="006B13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84F95">
        <w:rPr>
          <w:rFonts w:ascii="Arial" w:hAnsi="Arial" w:cs="Arial"/>
          <w:b/>
          <w:bCs/>
          <w:sz w:val="24"/>
          <w:szCs w:val="24"/>
        </w:rPr>
        <w:t>Art. 114 ustawy emerytalnej</w:t>
      </w:r>
    </w:p>
    <w:p w14:paraId="59AB320F" w14:textId="0C1C13D1" w:rsidR="006B135F" w:rsidRPr="006B135F" w:rsidRDefault="006B135F" w:rsidP="00807DB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35F">
        <w:rPr>
          <w:rFonts w:ascii="Arial" w:hAnsi="Arial" w:cs="Arial"/>
          <w:sz w:val="24"/>
          <w:szCs w:val="24"/>
        </w:rPr>
        <w:t>Zgodnie z art. 114 ust. 1 pkt 6 ustawy o emeryturach i rentach z FUS, organ rentowy może uchylić lub zmienić decyzję i ponownie ustalić prawo do świadczeń lub ich wysokość, jeżeli przyznanie świadczeń lub nieprawidłowe obliczenie ich wysokości nastąpiło na skutek błędu organu rentowego. Wyrok TK z 4 czerwca 2024 r. wskazuje, że stosowanie art. 25 ust. 1b było niezgodne z Konstytucją, co może być uznane za błąd organu rentowego. W związku z tym, emeryci mogą składać wnioski o ponowne ustalenie wysokości emerytury na podstawie art. 114 ustawy emerytalnej.​</w:t>
      </w:r>
      <w:r w:rsidR="00DB6DB0" w:rsidRPr="006B135F">
        <w:rPr>
          <w:rFonts w:ascii="Arial" w:hAnsi="Arial" w:cs="Arial"/>
          <w:sz w:val="24"/>
          <w:szCs w:val="24"/>
        </w:rPr>
        <w:t xml:space="preserve"> </w:t>
      </w:r>
    </w:p>
    <w:p w14:paraId="17AC4A56" w14:textId="77777777" w:rsidR="006B135F" w:rsidRPr="006B135F" w:rsidRDefault="006B135F" w:rsidP="006B13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B135F">
        <w:rPr>
          <w:rFonts w:ascii="Arial" w:hAnsi="Arial" w:cs="Arial"/>
          <w:b/>
          <w:bCs/>
          <w:sz w:val="24"/>
          <w:szCs w:val="24"/>
        </w:rPr>
        <w:t>Art. 145a Kodeksu postępowania administracyjnego (k.p.a.)</w:t>
      </w:r>
    </w:p>
    <w:p w14:paraId="47AC7366" w14:textId="79839E17" w:rsidR="006B135F" w:rsidRPr="006B135F" w:rsidRDefault="006B135F" w:rsidP="00807DB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35F">
        <w:rPr>
          <w:rFonts w:ascii="Arial" w:hAnsi="Arial" w:cs="Arial"/>
          <w:sz w:val="24"/>
          <w:szCs w:val="24"/>
        </w:rPr>
        <w:t>Alternatywnie, możliwe jest wznowienie postępowania administracyjnego na podstawie art. 145a § 1 k.p.a., który przewiduje wznowienie postępowania w</w:t>
      </w:r>
      <w:r w:rsidR="00084F95">
        <w:rPr>
          <w:rFonts w:ascii="Arial" w:hAnsi="Arial" w:cs="Arial"/>
          <w:sz w:val="24"/>
          <w:szCs w:val="24"/>
        </w:rPr>
        <w:t> </w:t>
      </w:r>
      <w:r w:rsidRPr="006B135F">
        <w:rPr>
          <w:rFonts w:ascii="Arial" w:hAnsi="Arial" w:cs="Arial"/>
          <w:sz w:val="24"/>
          <w:szCs w:val="24"/>
        </w:rPr>
        <w:t>przypadku, gdy Trybunał Konstytucyjny orzekł o niezgodności aktu normatywnego z</w:t>
      </w:r>
      <w:r w:rsidR="00084F95">
        <w:rPr>
          <w:rFonts w:ascii="Arial" w:hAnsi="Arial" w:cs="Arial"/>
          <w:sz w:val="24"/>
          <w:szCs w:val="24"/>
        </w:rPr>
        <w:t> </w:t>
      </w:r>
      <w:r w:rsidRPr="006B135F">
        <w:rPr>
          <w:rFonts w:ascii="Arial" w:hAnsi="Arial" w:cs="Arial"/>
          <w:sz w:val="24"/>
          <w:szCs w:val="24"/>
        </w:rPr>
        <w:t>Konstytucją. Jednakże, zgodnie z art. 145a § 2 k.p.a., skargę o wznowienie wnosi się w terminie jednego miesiąca od dnia wejścia w życie orzeczenia TK. W praktyce, ZUS odmawia wznowienia postępowania na tej podstawie, argumentując, że wyrok TK nie został opublikowany w Dzienniku Ustaw, co uniemożliwia jego wykonanie .​</w:t>
      </w:r>
      <w:r w:rsidR="00DB6DB0" w:rsidRPr="006B135F">
        <w:rPr>
          <w:rFonts w:ascii="Arial" w:hAnsi="Arial" w:cs="Arial"/>
          <w:sz w:val="24"/>
          <w:szCs w:val="24"/>
        </w:rPr>
        <w:t xml:space="preserve"> </w:t>
      </w:r>
    </w:p>
    <w:p w14:paraId="3DD3E5B3" w14:textId="4BE751A0" w:rsidR="006B135F" w:rsidRPr="006B135F" w:rsidRDefault="006B135F" w:rsidP="006B135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51FCF1C" w14:textId="77777777" w:rsidR="006B135F" w:rsidRPr="006B135F" w:rsidRDefault="006B135F" w:rsidP="006B13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B135F">
        <w:rPr>
          <w:rFonts w:ascii="Arial" w:hAnsi="Arial" w:cs="Arial"/>
          <w:b/>
          <w:bCs/>
          <w:sz w:val="24"/>
          <w:szCs w:val="24"/>
        </w:rPr>
        <w:t>Procedura przeliczenia emerytury</w:t>
      </w:r>
    </w:p>
    <w:p w14:paraId="305918CC" w14:textId="77777777" w:rsidR="006B135F" w:rsidRPr="006B135F" w:rsidRDefault="006B135F" w:rsidP="006B135F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6B135F">
        <w:rPr>
          <w:rFonts w:ascii="Arial" w:hAnsi="Arial" w:cs="Arial"/>
          <w:sz w:val="24"/>
          <w:szCs w:val="24"/>
        </w:rPr>
        <w:t>Złożenie wniosku do ZUS</w:t>
      </w:r>
    </w:p>
    <w:p w14:paraId="651929B7" w14:textId="77777777" w:rsidR="006B135F" w:rsidRPr="006B135F" w:rsidRDefault="006B135F" w:rsidP="006B135F">
      <w:pPr>
        <w:jc w:val="both"/>
        <w:rPr>
          <w:rFonts w:ascii="Arial" w:hAnsi="Arial" w:cs="Arial"/>
          <w:sz w:val="24"/>
          <w:szCs w:val="24"/>
        </w:rPr>
      </w:pPr>
      <w:r w:rsidRPr="006B135F">
        <w:rPr>
          <w:rFonts w:ascii="Arial" w:hAnsi="Arial" w:cs="Arial"/>
          <w:sz w:val="24"/>
          <w:szCs w:val="24"/>
        </w:rPr>
        <w:t>Emeryt powinien złożyć wniosek o ponowne ustalenie wysokości emerytury, powołując się na art. 114 ustawy emerytalnej oraz wyrok TK z 4 czerwca 2024 r. Wniosek powinien zawierać żądanie przeliczenia emerytury bez pomniejszania podstawy obliczenia o sumę kwot pobranej wcześniejszej emerytury.</w:t>
      </w:r>
    </w:p>
    <w:p w14:paraId="116248FF" w14:textId="77777777" w:rsidR="006B135F" w:rsidRPr="006B135F" w:rsidRDefault="006B135F" w:rsidP="006B135F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6B135F">
        <w:rPr>
          <w:rFonts w:ascii="Arial" w:hAnsi="Arial" w:cs="Arial"/>
          <w:sz w:val="24"/>
          <w:szCs w:val="24"/>
        </w:rPr>
        <w:t>Decyzja ZUS</w:t>
      </w:r>
    </w:p>
    <w:p w14:paraId="02970740" w14:textId="77777777" w:rsidR="006B135F" w:rsidRPr="006B135F" w:rsidRDefault="006B135F" w:rsidP="006B135F">
      <w:pPr>
        <w:jc w:val="both"/>
        <w:rPr>
          <w:rFonts w:ascii="Arial" w:hAnsi="Arial" w:cs="Arial"/>
          <w:sz w:val="24"/>
          <w:szCs w:val="24"/>
        </w:rPr>
      </w:pPr>
      <w:r w:rsidRPr="006B135F">
        <w:rPr>
          <w:rFonts w:ascii="Arial" w:hAnsi="Arial" w:cs="Arial"/>
          <w:sz w:val="24"/>
          <w:szCs w:val="24"/>
        </w:rPr>
        <w:lastRenderedPageBreak/>
        <w:t>ZUS może wydać decyzję odmowną, powołując się na brak publikacji wyroku TK w Dzienniku Ustaw. W takim przypadku, emeryt ma prawo złożyć odwołanie do sądu powszechnego w terminie 30 dni od dnia doręczenia decyzji .</w:t>
      </w:r>
    </w:p>
    <w:p w14:paraId="76FDE6F5" w14:textId="77777777" w:rsidR="006B135F" w:rsidRPr="006B135F" w:rsidRDefault="006B135F" w:rsidP="006B135F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6B135F">
        <w:rPr>
          <w:rFonts w:ascii="Arial" w:hAnsi="Arial" w:cs="Arial"/>
          <w:sz w:val="24"/>
          <w:szCs w:val="24"/>
        </w:rPr>
        <w:t>Postępowanie sądowe</w:t>
      </w:r>
    </w:p>
    <w:p w14:paraId="05923481" w14:textId="77777777" w:rsidR="006B135F" w:rsidRPr="006B135F" w:rsidRDefault="006B135F" w:rsidP="006B135F">
      <w:pPr>
        <w:jc w:val="both"/>
        <w:rPr>
          <w:rFonts w:ascii="Arial" w:hAnsi="Arial" w:cs="Arial"/>
          <w:sz w:val="24"/>
          <w:szCs w:val="24"/>
        </w:rPr>
      </w:pPr>
      <w:r w:rsidRPr="006B135F">
        <w:rPr>
          <w:rFonts w:ascii="Arial" w:hAnsi="Arial" w:cs="Arial"/>
          <w:sz w:val="24"/>
          <w:szCs w:val="24"/>
        </w:rPr>
        <w:t>Sądy powszechne rozpatrują odwołania od decyzji ZUS. W praktyce, orzecznictwo sądów jest niejednolite; niektóre sądy przyznają rację emerytom, inne podtrzymują decyzje ZUS .</w:t>
      </w:r>
    </w:p>
    <w:p w14:paraId="54F4E7D8" w14:textId="043351D4" w:rsidR="006B135F" w:rsidRPr="006B135F" w:rsidRDefault="006B135F" w:rsidP="006B135F">
      <w:pPr>
        <w:jc w:val="both"/>
        <w:rPr>
          <w:rFonts w:ascii="Arial" w:hAnsi="Arial" w:cs="Arial"/>
          <w:sz w:val="24"/>
          <w:szCs w:val="24"/>
        </w:rPr>
      </w:pPr>
    </w:p>
    <w:p w14:paraId="526F1F09" w14:textId="77777777" w:rsidR="006B135F" w:rsidRPr="006B135F" w:rsidRDefault="006B135F" w:rsidP="006B13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B135F">
        <w:rPr>
          <w:rFonts w:ascii="Arial" w:hAnsi="Arial" w:cs="Arial"/>
          <w:b/>
          <w:bCs/>
          <w:sz w:val="24"/>
          <w:szCs w:val="24"/>
        </w:rPr>
        <w:t>Wyrównanie świadczeń</w:t>
      </w:r>
    </w:p>
    <w:p w14:paraId="0C0686BF" w14:textId="3F59A220" w:rsidR="006B135F" w:rsidRPr="006B135F" w:rsidRDefault="006B135F" w:rsidP="00DB6DB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35F">
        <w:rPr>
          <w:rFonts w:ascii="Arial" w:hAnsi="Arial" w:cs="Arial"/>
          <w:sz w:val="24"/>
          <w:szCs w:val="24"/>
        </w:rPr>
        <w:t>Zgodnie z art. 133 ust. 1 ustawy emerytalnej, w przypadku ponownego ustalenia prawa do świadczeń lub ich wysokości, przyznane lub podwyższone świadczenia wypłaca się od miesiąca, w którym powstało prawo do tych świadczeń lub ich podwyższenia, jednak nie wcześniej niż za okres 3 lat poprzedzających bezpośrednio miesiąc, w którym zgłoszono wniosek.</w:t>
      </w:r>
      <w:r w:rsidR="00DB6DB0" w:rsidRPr="006B135F">
        <w:rPr>
          <w:rFonts w:ascii="Arial" w:hAnsi="Arial" w:cs="Arial"/>
          <w:sz w:val="24"/>
          <w:szCs w:val="24"/>
        </w:rPr>
        <w:t xml:space="preserve"> </w:t>
      </w:r>
    </w:p>
    <w:p w14:paraId="580DC896" w14:textId="4954C9CC" w:rsidR="006B135F" w:rsidRDefault="006B135F" w:rsidP="00084F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35F">
        <w:rPr>
          <w:rFonts w:ascii="Arial" w:hAnsi="Arial" w:cs="Arial"/>
          <w:sz w:val="24"/>
          <w:szCs w:val="24"/>
        </w:rPr>
        <w:t xml:space="preserve">Przykładowo, jeżeli emerytka złożyła wniosek w sierpniu 2024 r., ZUS powinien wypłacić wyrównanie za okres od sierpnia 2021 r. do sierpnia 2024 r. </w:t>
      </w:r>
    </w:p>
    <w:p w14:paraId="0EDB6B6F" w14:textId="77777777" w:rsidR="00084F95" w:rsidRPr="006B135F" w:rsidRDefault="00084F95" w:rsidP="00084F9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C1DA358" w14:textId="4FED8928" w:rsidR="006B135F" w:rsidRPr="006B135F" w:rsidRDefault="006B135F" w:rsidP="00DB6DB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35F">
        <w:rPr>
          <w:rFonts w:ascii="Arial" w:hAnsi="Arial" w:cs="Arial"/>
          <w:sz w:val="24"/>
          <w:szCs w:val="24"/>
        </w:rPr>
        <w:t>Wyrok Trybunału Konstytucyjnego z 4 czerwca 2024 r. otwiera drogę do ponownego ustalenia wysokości emerytur dla osób, które przeszły z emerytury wcześniejszej na powszechną. Pomimo braku publikacji wyroku w Dzienniku Ustaw, emeryci mogą składać wnioski do ZUS na podstawie art. 114 ustawy emerytalnej. W</w:t>
      </w:r>
      <w:r w:rsidR="00084F95">
        <w:rPr>
          <w:rFonts w:ascii="Arial" w:hAnsi="Arial" w:cs="Arial"/>
          <w:sz w:val="24"/>
          <w:szCs w:val="24"/>
        </w:rPr>
        <w:t> </w:t>
      </w:r>
      <w:r w:rsidRPr="006B135F">
        <w:rPr>
          <w:rFonts w:ascii="Arial" w:hAnsi="Arial" w:cs="Arial"/>
          <w:sz w:val="24"/>
          <w:szCs w:val="24"/>
        </w:rPr>
        <w:t>przypadku decyzji odmownej, przysługuje im prawo do odwołania się do sądu powszechnego. Wyrównanie świadczeń może obejmować okres do 3 lat wstecz od daty złożenia wniosku.</w:t>
      </w:r>
      <w:r w:rsidR="00DB6DB0" w:rsidRPr="006B135F">
        <w:rPr>
          <w:rFonts w:ascii="Arial" w:hAnsi="Arial" w:cs="Arial"/>
          <w:sz w:val="24"/>
          <w:szCs w:val="24"/>
        </w:rPr>
        <w:t xml:space="preserve"> </w:t>
      </w:r>
    </w:p>
    <w:p w14:paraId="58104C0C" w14:textId="77777777" w:rsidR="006B135F" w:rsidRPr="006B135F" w:rsidRDefault="006B135F" w:rsidP="00807DB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35F">
        <w:rPr>
          <w:rFonts w:ascii="Arial" w:hAnsi="Arial" w:cs="Arial"/>
          <w:sz w:val="24"/>
          <w:szCs w:val="24"/>
        </w:rPr>
        <w:t>Z uwagi na skomplikowaną sytuację prawną i niejednolite orzecznictwo sądów, zaleca się skorzystanie z pomocy prawnej przy składaniu wniosków i odwołań.</w:t>
      </w:r>
    </w:p>
    <w:p w14:paraId="398564F9" w14:textId="77777777" w:rsidR="00965A5F" w:rsidRPr="006B135F" w:rsidRDefault="00965A5F" w:rsidP="007205BE">
      <w:pPr>
        <w:jc w:val="both"/>
        <w:rPr>
          <w:rFonts w:ascii="Arial" w:hAnsi="Arial" w:cs="Arial"/>
          <w:sz w:val="24"/>
          <w:szCs w:val="24"/>
        </w:rPr>
      </w:pPr>
    </w:p>
    <w:p w14:paraId="4ABA03D7" w14:textId="77777777" w:rsidR="00317246" w:rsidRPr="006B135F" w:rsidRDefault="00317246" w:rsidP="007205BE">
      <w:pPr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6B135F" w:rsidRDefault="00965A5F" w:rsidP="007205BE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6B135F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6B135F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6B135F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4136A85D" w14:textId="77777777" w:rsidR="005F6A80" w:rsidRPr="006B135F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p w14:paraId="12448E44" w14:textId="77777777" w:rsidR="005F6A80" w:rsidRPr="006B135F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p w14:paraId="6FE4C78F" w14:textId="77777777" w:rsidR="005F6A80" w:rsidRPr="006B135F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6B13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70BF" w14:textId="77777777" w:rsidR="00FE4D23" w:rsidRDefault="00FE4D23" w:rsidP="00965A5F">
      <w:pPr>
        <w:spacing w:after="0" w:line="240" w:lineRule="auto"/>
      </w:pPr>
      <w:r>
        <w:separator/>
      </w:r>
    </w:p>
  </w:endnote>
  <w:endnote w:type="continuationSeparator" w:id="0">
    <w:p w14:paraId="6D1D7639" w14:textId="77777777" w:rsidR="00FE4D23" w:rsidRDefault="00FE4D23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C7B8" w14:textId="77777777" w:rsidR="00FE4D23" w:rsidRDefault="00FE4D23" w:rsidP="00965A5F">
      <w:pPr>
        <w:spacing w:after="0" w:line="240" w:lineRule="auto"/>
      </w:pPr>
      <w:r>
        <w:separator/>
      </w:r>
    </w:p>
  </w:footnote>
  <w:footnote w:type="continuationSeparator" w:id="0">
    <w:p w14:paraId="63167DCC" w14:textId="77777777" w:rsidR="00FE4D23" w:rsidRDefault="00FE4D23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84F95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55pt;height:60.1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3"/>
  </w:num>
  <w:num w:numId="2" w16cid:durableId="1213811931">
    <w:abstractNumId w:val="6"/>
  </w:num>
  <w:num w:numId="3" w16cid:durableId="455222665">
    <w:abstractNumId w:val="4"/>
  </w:num>
  <w:num w:numId="4" w16cid:durableId="2017147699">
    <w:abstractNumId w:val="9"/>
  </w:num>
  <w:num w:numId="5" w16cid:durableId="810951206">
    <w:abstractNumId w:val="7"/>
  </w:num>
  <w:num w:numId="6" w16cid:durableId="860361570">
    <w:abstractNumId w:val="10"/>
  </w:num>
  <w:num w:numId="7" w16cid:durableId="221138008">
    <w:abstractNumId w:val="8"/>
  </w:num>
  <w:num w:numId="8" w16cid:durableId="1442410410">
    <w:abstractNumId w:val="2"/>
  </w:num>
  <w:num w:numId="9" w16cid:durableId="217860266">
    <w:abstractNumId w:val="1"/>
  </w:num>
  <w:num w:numId="10" w16cid:durableId="1764454325">
    <w:abstractNumId w:val="11"/>
  </w:num>
  <w:num w:numId="11" w16cid:durableId="736435546">
    <w:abstractNumId w:val="5"/>
  </w:num>
  <w:num w:numId="12" w16cid:durableId="140680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1235D"/>
    <w:rsid w:val="00055B9C"/>
    <w:rsid w:val="00084F95"/>
    <w:rsid w:val="00194366"/>
    <w:rsid w:val="001B5056"/>
    <w:rsid w:val="001F23CD"/>
    <w:rsid w:val="002A1951"/>
    <w:rsid w:val="002B62AA"/>
    <w:rsid w:val="00317246"/>
    <w:rsid w:val="00411B3C"/>
    <w:rsid w:val="00412B11"/>
    <w:rsid w:val="00556DB8"/>
    <w:rsid w:val="005632AD"/>
    <w:rsid w:val="005E3B93"/>
    <w:rsid w:val="005F4B6E"/>
    <w:rsid w:val="005F6A80"/>
    <w:rsid w:val="00613B27"/>
    <w:rsid w:val="006B135F"/>
    <w:rsid w:val="006B5C55"/>
    <w:rsid w:val="007205BE"/>
    <w:rsid w:val="007A5564"/>
    <w:rsid w:val="00807DB4"/>
    <w:rsid w:val="0083555F"/>
    <w:rsid w:val="00904CDC"/>
    <w:rsid w:val="0093331A"/>
    <w:rsid w:val="00965A5F"/>
    <w:rsid w:val="00983CF3"/>
    <w:rsid w:val="009A7AC8"/>
    <w:rsid w:val="009C1CA0"/>
    <w:rsid w:val="00A20133"/>
    <w:rsid w:val="00AC3F82"/>
    <w:rsid w:val="00AE12C4"/>
    <w:rsid w:val="00B45FA0"/>
    <w:rsid w:val="00B90A25"/>
    <w:rsid w:val="00C1573D"/>
    <w:rsid w:val="00C23284"/>
    <w:rsid w:val="00CA5809"/>
    <w:rsid w:val="00CF17D5"/>
    <w:rsid w:val="00D44158"/>
    <w:rsid w:val="00DB6DB0"/>
    <w:rsid w:val="00E033DD"/>
    <w:rsid w:val="00E12102"/>
    <w:rsid w:val="00E96FD6"/>
    <w:rsid w:val="00EC32DF"/>
    <w:rsid w:val="00F57CD4"/>
    <w:rsid w:val="00F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20</cp:revision>
  <cp:lastPrinted>2025-02-04T09:35:00Z</cp:lastPrinted>
  <dcterms:created xsi:type="dcterms:W3CDTF">2025-02-03T09:41:00Z</dcterms:created>
  <dcterms:modified xsi:type="dcterms:W3CDTF">2025-04-30T10:01:00Z</dcterms:modified>
</cp:coreProperties>
</file>